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646" w:rsidRPr="00E446A8" w:rsidRDefault="00313646" w:rsidP="00313646">
      <w:pPr>
        <w:ind w:left="851" w:hanging="851"/>
        <w:jc w:val="center"/>
        <w:rPr>
          <w:rFonts w:ascii="Verdana" w:eastAsia="Times New Roman" w:hAnsi="Verdana" w:cs="Times New Roman"/>
          <w:b/>
          <w:noProof/>
          <w:lang w:val="en-US"/>
        </w:rPr>
      </w:pPr>
      <w:r>
        <w:rPr>
          <w:rFonts w:ascii="Verdana" w:eastAsia="Times New Roman" w:hAnsi="Verdana" w:cs="Times New Roman"/>
          <w:b/>
          <w:noProof/>
          <w:lang w:val="en-US"/>
        </w:rPr>
        <w:t>WESTMINSTER CITY COUNCIL</w:t>
      </w:r>
    </w:p>
    <w:p w:rsidR="00313646" w:rsidRPr="00E446A8" w:rsidRDefault="00313646" w:rsidP="00313646">
      <w:pPr>
        <w:ind w:left="851" w:hanging="851"/>
        <w:jc w:val="center"/>
        <w:rPr>
          <w:rFonts w:ascii="Verdana" w:eastAsia="Times New Roman" w:hAnsi="Verdana" w:cs="Times New Roman"/>
          <w:b/>
          <w:noProof/>
          <w:lang w:val="en-US"/>
        </w:rPr>
      </w:pPr>
    </w:p>
    <w:p w:rsidR="00313646" w:rsidRPr="00E446A8" w:rsidRDefault="00313646" w:rsidP="00313646">
      <w:pPr>
        <w:ind w:left="851" w:hanging="851"/>
        <w:jc w:val="center"/>
        <w:rPr>
          <w:rFonts w:ascii="Verdana" w:eastAsia="Times New Roman" w:hAnsi="Verdana" w:cs="Times New Roman"/>
          <w:b/>
          <w:noProof/>
          <w:lang w:val="en-US"/>
        </w:rPr>
      </w:pPr>
      <w:r w:rsidRPr="00E446A8">
        <w:rPr>
          <w:rFonts w:ascii="Verdana" w:eastAsia="Times New Roman" w:hAnsi="Verdana" w:cs="Times New Roman"/>
          <w:b/>
          <w:noProof/>
          <w:lang w:val="en-US"/>
        </w:rPr>
        <w:t>SCHOOLS FORUM 1</w:t>
      </w:r>
      <w:r>
        <w:rPr>
          <w:rFonts w:ascii="Verdana" w:eastAsia="Times New Roman" w:hAnsi="Verdana" w:cs="Times New Roman"/>
          <w:b/>
          <w:noProof/>
          <w:lang w:val="en-US"/>
        </w:rPr>
        <w:t>0</w:t>
      </w:r>
      <w:r w:rsidRPr="00E446A8">
        <w:rPr>
          <w:rFonts w:ascii="Verdana" w:eastAsia="Times New Roman" w:hAnsi="Verdana" w:cs="Times New Roman"/>
          <w:b/>
          <w:noProof/>
          <w:vertAlign w:val="superscript"/>
          <w:lang w:val="en-US"/>
        </w:rPr>
        <w:t>TH</w:t>
      </w:r>
      <w:r w:rsidRPr="00E446A8">
        <w:rPr>
          <w:rFonts w:ascii="Verdana" w:eastAsia="Times New Roman" w:hAnsi="Verdana" w:cs="Times New Roman"/>
          <w:b/>
          <w:noProof/>
          <w:lang w:val="en-US"/>
        </w:rPr>
        <w:t xml:space="preserve"> OCTOBER 2016</w:t>
      </w:r>
    </w:p>
    <w:p w:rsidR="00313646" w:rsidRPr="00E446A8" w:rsidRDefault="00313646" w:rsidP="00313646">
      <w:pPr>
        <w:ind w:left="851" w:hanging="851"/>
        <w:jc w:val="center"/>
        <w:rPr>
          <w:rFonts w:ascii="Verdana" w:eastAsia="Times New Roman" w:hAnsi="Verdana" w:cs="Times New Roman"/>
          <w:b/>
          <w:noProof/>
          <w:lang w:val="en-US"/>
        </w:rPr>
      </w:pPr>
    </w:p>
    <w:p w:rsidR="00313646" w:rsidRPr="00E446A8" w:rsidRDefault="00313646" w:rsidP="00313646">
      <w:pPr>
        <w:jc w:val="center"/>
        <w:rPr>
          <w:rFonts w:ascii="Verdana" w:hAnsi="Verdana"/>
          <w:b/>
        </w:rPr>
      </w:pPr>
      <w:r w:rsidRPr="00E446A8">
        <w:rPr>
          <w:rFonts w:ascii="Verdana" w:hAnsi="Verdana"/>
          <w:b/>
        </w:rPr>
        <w:t>REPORT BY THE HEAD OF RESOURCES</w:t>
      </w:r>
    </w:p>
    <w:p w:rsidR="00313646" w:rsidRPr="00E446A8" w:rsidRDefault="00313646" w:rsidP="00313646">
      <w:pPr>
        <w:rPr>
          <w:rFonts w:ascii="Verdana" w:hAnsi="Verdana"/>
          <w:b/>
        </w:rPr>
      </w:pPr>
    </w:p>
    <w:p w:rsidR="00313646" w:rsidRPr="00E446A8" w:rsidRDefault="00313646" w:rsidP="00313646">
      <w:pPr>
        <w:jc w:val="center"/>
        <w:rPr>
          <w:rFonts w:ascii="Verdana" w:hAnsi="Verdana"/>
          <w:b/>
        </w:rPr>
      </w:pPr>
      <w:r w:rsidRPr="00E446A8">
        <w:rPr>
          <w:rFonts w:ascii="Verdana" w:hAnsi="Verdana"/>
          <w:b/>
        </w:rPr>
        <w:t>DEDICATED SCHOOLS GRANT 2016/2017</w:t>
      </w:r>
    </w:p>
    <w:p w:rsidR="00313646" w:rsidRPr="00E446A8" w:rsidRDefault="00313646" w:rsidP="00313646">
      <w:pPr>
        <w:jc w:val="center"/>
        <w:rPr>
          <w:rFonts w:ascii="Verdana" w:hAnsi="Verdana"/>
          <w:b/>
        </w:rPr>
      </w:pPr>
    </w:p>
    <w:p w:rsidR="00313646" w:rsidRPr="00E446A8" w:rsidRDefault="00AF7A4E" w:rsidP="00313646">
      <w:pPr>
        <w:jc w:val="both"/>
        <w:rPr>
          <w:rFonts w:ascii="Verdana" w:hAnsi="Verdana"/>
          <w:bCs/>
          <w:sz w:val="23"/>
          <w:szCs w:val="23"/>
        </w:rPr>
      </w:pPr>
      <w:r>
        <w:rPr>
          <w:rFonts w:ascii="Verdana" w:hAnsi="Verdana"/>
          <w:noProof/>
          <w:sz w:val="23"/>
          <w:szCs w:val="23"/>
          <w:lang w:val="en-US"/>
        </w:rPr>
        <mc:AlternateContent>
          <mc:Choice Requires="wps">
            <w:drawing>
              <wp:anchor distT="0" distB="0" distL="114300" distR="114300" simplePos="0" relativeHeight="251658240" behindDoc="0" locked="0" layoutInCell="1" allowOverlap="1">
                <wp:simplePos x="0" y="0"/>
                <wp:positionH relativeFrom="column">
                  <wp:posOffset>790575</wp:posOffset>
                </wp:positionH>
                <wp:positionV relativeFrom="paragraph">
                  <wp:posOffset>82550</wp:posOffset>
                </wp:positionV>
                <wp:extent cx="4171950" cy="1212850"/>
                <wp:effectExtent l="9525" t="11430"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212850"/>
                        </a:xfrm>
                        <a:prstGeom prst="rect">
                          <a:avLst/>
                        </a:prstGeom>
                        <a:solidFill>
                          <a:srgbClr val="FFFFFF"/>
                        </a:solidFill>
                        <a:ln w="9525">
                          <a:solidFill>
                            <a:srgbClr val="000000"/>
                          </a:solidFill>
                          <a:miter lim="800000"/>
                          <a:headEnd/>
                          <a:tailEnd/>
                        </a:ln>
                      </wps:spPr>
                      <wps:txbx>
                        <w:txbxContent>
                          <w:p w:rsidR="00B25024" w:rsidRDefault="00B25024" w:rsidP="00313646">
                            <w:pPr>
                              <w:pStyle w:val="Default"/>
                              <w:jc w:val="both"/>
                              <w:rPr>
                                <w:sz w:val="23"/>
                                <w:szCs w:val="23"/>
                              </w:rPr>
                            </w:pPr>
                            <w:r>
                              <w:rPr>
                                <w:sz w:val="23"/>
                                <w:szCs w:val="23"/>
                              </w:rPr>
                              <w:t>This report informs Schools Forum of the current 2016/2017 DSG grant allocation and provides a projection of the year end position and likely carry forward into 2017/2018.</w:t>
                            </w:r>
                          </w:p>
                          <w:p w:rsidR="00B25024" w:rsidRDefault="00B25024" w:rsidP="00313646">
                            <w:pPr>
                              <w:pStyle w:val="Default"/>
                              <w:jc w:val="both"/>
                              <w:rPr>
                                <w:sz w:val="23"/>
                                <w:szCs w:val="23"/>
                              </w:rPr>
                            </w:pPr>
                          </w:p>
                          <w:p w:rsidR="00B25024" w:rsidRDefault="00B25024" w:rsidP="00313646">
                            <w:pPr>
                              <w:pStyle w:val="BodyTextIndent"/>
                              <w:ind w:left="0" w:right="434"/>
                              <w:jc w:val="right"/>
                            </w:pPr>
                            <w:r w:rsidRPr="00C71DA3">
                              <w:rPr>
                                <w:b/>
                                <w:bCs/>
                                <w:sz w:val="23"/>
                                <w:szCs w:val="23"/>
                              </w:rPr>
                              <w:t>FOR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25pt;margin-top:6.5pt;width:328.5pt;height: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">
                <v:textbox>
                  <w:txbxContent>
                    <w:p w:rsidR="00B25024" w:rsidRDefault="00B25024" w:rsidP="00313646">
                      <w:pPr>
                        <w:pStyle w:val="Default"/>
                        <w:jc w:val="both"/>
                        <w:rPr>
                          <w:sz w:val="23"/>
                          <w:szCs w:val="23"/>
                        </w:rPr>
                      </w:pPr>
                      <w:r>
                        <w:rPr>
                          <w:sz w:val="23"/>
                          <w:szCs w:val="23"/>
                        </w:rPr>
                        <w:t>This report informs Schools Forum of the current 2016/2017 DSG grant allocation and provides a projection of the year end position and likely carry forward into 2017/2018.</w:t>
                      </w:r>
                    </w:p>
                    <w:p w:rsidR="00B25024" w:rsidRDefault="00B25024" w:rsidP="00313646">
                      <w:pPr>
                        <w:pStyle w:val="Default"/>
                        <w:jc w:val="both"/>
                        <w:rPr>
                          <w:sz w:val="23"/>
                          <w:szCs w:val="23"/>
                        </w:rPr>
                      </w:pPr>
                    </w:p>
                    <w:p w:rsidR="00B25024" w:rsidRDefault="00B25024" w:rsidP="00313646">
                      <w:pPr>
                        <w:pStyle w:val="BodyTextIndent"/>
                        <w:ind w:left="0" w:right="434"/>
                        <w:jc w:val="right"/>
                      </w:pPr>
                      <w:r w:rsidRPr="00C71DA3">
                        <w:rPr>
                          <w:b/>
                          <w:bCs/>
                          <w:sz w:val="23"/>
                          <w:szCs w:val="23"/>
                        </w:rPr>
                        <w:t>FOR INFORMATION</w:t>
                      </w:r>
                    </w:p>
                  </w:txbxContent>
                </v:textbox>
              </v:shape>
            </w:pict>
          </mc:Fallback>
        </mc:AlternateContent>
      </w:r>
    </w:p>
    <w:p w:rsidR="00313646" w:rsidRPr="00E446A8" w:rsidRDefault="00313646" w:rsidP="00313646">
      <w:pPr>
        <w:rPr>
          <w:rFonts w:ascii="Verdana" w:hAnsi="Verdana"/>
        </w:rPr>
      </w:pPr>
    </w:p>
    <w:p w:rsidR="00313646" w:rsidRPr="00E446A8" w:rsidRDefault="00313646" w:rsidP="00313646">
      <w:pPr>
        <w:rPr>
          <w:rFonts w:ascii="Verdana" w:hAnsi="Verdana"/>
        </w:rPr>
      </w:pPr>
    </w:p>
    <w:p w:rsidR="00313646" w:rsidRPr="00E446A8" w:rsidRDefault="00313646" w:rsidP="00313646">
      <w:pPr>
        <w:rPr>
          <w:rFonts w:ascii="Verdana" w:hAnsi="Verdana"/>
        </w:rPr>
      </w:pPr>
    </w:p>
    <w:p w:rsidR="00313646" w:rsidRPr="00E446A8" w:rsidRDefault="00313646" w:rsidP="00313646">
      <w:pPr>
        <w:rPr>
          <w:rFonts w:ascii="Verdana" w:hAnsi="Verdana"/>
        </w:rPr>
      </w:pPr>
    </w:p>
    <w:p w:rsidR="00313646" w:rsidRPr="00E446A8" w:rsidRDefault="00313646" w:rsidP="00313646">
      <w:pPr>
        <w:rPr>
          <w:rFonts w:ascii="Verdana" w:hAnsi="Verdana"/>
        </w:rPr>
      </w:pPr>
    </w:p>
    <w:p w:rsidR="00313646" w:rsidRPr="00E446A8" w:rsidRDefault="00313646" w:rsidP="00313646">
      <w:pPr>
        <w:rPr>
          <w:rFonts w:ascii="Verdana" w:hAnsi="Verdana"/>
        </w:rPr>
      </w:pPr>
    </w:p>
    <w:p w:rsidR="00313646" w:rsidRPr="00E446A8" w:rsidRDefault="00313646" w:rsidP="00313646">
      <w:pPr>
        <w:rPr>
          <w:rFonts w:ascii="Verdana" w:hAnsi="Verdana"/>
        </w:rPr>
      </w:pPr>
    </w:p>
    <w:p w:rsidR="00313646" w:rsidRPr="00E446A8" w:rsidRDefault="00313646" w:rsidP="00313646">
      <w:pPr>
        <w:rPr>
          <w:rFonts w:ascii="Verdana" w:hAnsi="Verdana"/>
        </w:rPr>
      </w:pPr>
    </w:p>
    <w:p w:rsidR="00313646" w:rsidRPr="00E446A8" w:rsidRDefault="00313646" w:rsidP="00096116">
      <w:pPr>
        <w:pStyle w:val="Default"/>
        <w:numPr>
          <w:ilvl w:val="0"/>
          <w:numId w:val="1"/>
        </w:numPr>
        <w:ind w:left="709" w:hanging="709"/>
        <w:jc w:val="both"/>
        <w:rPr>
          <w:b/>
          <w:bCs/>
        </w:rPr>
      </w:pPr>
      <w:r w:rsidRPr="00E446A8">
        <w:rPr>
          <w:b/>
          <w:bCs/>
        </w:rPr>
        <w:t>INTRODUCTION</w:t>
      </w:r>
    </w:p>
    <w:p w:rsidR="00313646" w:rsidRPr="00E446A8" w:rsidRDefault="00313646" w:rsidP="00096116">
      <w:pPr>
        <w:ind w:left="709" w:hanging="709"/>
        <w:jc w:val="both"/>
        <w:rPr>
          <w:rFonts w:ascii="Verdana" w:hAnsi="Verdana"/>
        </w:rPr>
      </w:pPr>
    </w:p>
    <w:p w:rsidR="00313646" w:rsidRDefault="00313646" w:rsidP="00096116">
      <w:pPr>
        <w:pStyle w:val="ListParagraph"/>
        <w:numPr>
          <w:ilvl w:val="1"/>
          <w:numId w:val="2"/>
        </w:numPr>
        <w:ind w:left="709" w:hanging="709"/>
        <w:jc w:val="both"/>
        <w:rPr>
          <w:rFonts w:ascii="Verdana" w:hAnsi="Verdana"/>
        </w:rPr>
      </w:pPr>
      <w:r w:rsidRPr="00E446A8">
        <w:rPr>
          <w:rFonts w:ascii="Verdana" w:hAnsi="Verdana"/>
        </w:rPr>
        <w:t xml:space="preserve">The </w:t>
      </w:r>
      <w:r w:rsidR="0092687C">
        <w:rPr>
          <w:rFonts w:ascii="Verdana" w:hAnsi="Verdana"/>
        </w:rPr>
        <w:t>Dedicated Schools Grant (</w:t>
      </w:r>
      <w:r w:rsidRPr="00E446A8">
        <w:rPr>
          <w:rFonts w:ascii="Verdana" w:hAnsi="Verdana"/>
        </w:rPr>
        <w:t>DSG</w:t>
      </w:r>
      <w:r w:rsidR="0092687C">
        <w:rPr>
          <w:rFonts w:ascii="Verdana" w:hAnsi="Verdana"/>
        </w:rPr>
        <w:t>)</w:t>
      </w:r>
      <w:r w:rsidRPr="00E446A8">
        <w:rPr>
          <w:rFonts w:ascii="Verdana" w:hAnsi="Verdana"/>
        </w:rPr>
        <w:t xml:space="preserve"> allocation for 2016/2017 per current published</w:t>
      </w:r>
      <w:r w:rsidR="0092687C">
        <w:rPr>
          <w:rFonts w:ascii="Verdana" w:hAnsi="Verdana"/>
        </w:rPr>
        <w:t xml:space="preserve"> Department for Education (</w:t>
      </w:r>
      <w:proofErr w:type="spellStart"/>
      <w:r w:rsidRPr="00E446A8">
        <w:rPr>
          <w:rFonts w:ascii="Verdana" w:hAnsi="Verdana"/>
        </w:rPr>
        <w:t>DfE</w:t>
      </w:r>
      <w:proofErr w:type="spellEnd"/>
      <w:r w:rsidR="0092687C">
        <w:rPr>
          <w:rFonts w:ascii="Verdana" w:hAnsi="Verdana"/>
        </w:rPr>
        <w:t>)</w:t>
      </w:r>
      <w:r w:rsidRPr="00E446A8">
        <w:rPr>
          <w:rFonts w:ascii="Verdana" w:hAnsi="Verdana"/>
        </w:rPr>
        <w:t xml:space="preserve"> information is £</w:t>
      </w:r>
      <w:r>
        <w:rPr>
          <w:rFonts w:ascii="Verdana" w:hAnsi="Verdana"/>
        </w:rPr>
        <w:t>83</w:t>
      </w:r>
      <w:r w:rsidR="0092687C">
        <w:rPr>
          <w:rFonts w:ascii="Verdana" w:hAnsi="Verdana"/>
        </w:rPr>
        <w:t>,</w:t>
      </w:r>
      <w:r>
        <w:rPr>
          <w:rFonts w:ascii="Verdana" w:hAnsi="Verdana"/>
        </w:rPr>
        <w:t>432</w:t>
      </w:r>
      <w:r w:rsidR="0092687C">
        <w:rPr>
          <w:rFonts w:ascii="Verdana" w:hAnsi="Verdana"/>
        </w:rPr>
        <w:t>k</w:t>
      </w:r>
      <w:r w:rsidRPr="00E446A8">
        <w:rPr>
          <w:rFonts w:ascii="Verdana" w:hAnsi="Verdana"/>
        </w:rPr>
        <w:t xml:space="preserve"> before adjustments.  This represents a reduction of £</w:t>
      </w:r>
      <w:r>
        <w:rPr>
          <w:rFonts w:ascii="Verdana" w:hAnsi="Verdana"/>
        </w:rPr>
        <w:t>887</w:t>
      </w:r>
      <w:r w:rsidR="0092687C">
        <w:rPr>
          <w:rFonts w:ascii="Verdana" w:hAnsi="Verdana"/>
        </w:rPr>
        <w:t>k</w:t>
      </w:r>
      <w:r w:rsidRPr="00E446A8">
        <w:rPr>
          <w:rFonts w:ascii="Verdana" w:hAnsi="Verdana"/>
        </w:rPr>
        <w:t xml:space="preserve"> since the last report</w:t>
      </w:r>
      <w:r>
        <w:rPr>
          <w:rFonts w:ascii="Verdana" w:hAnsi="Verdana"/>
        </w:rPr>
        <w:t xml:space="preserve"> in June.</w:t>
      </w:r>
    </w:p>
    <w:p w:rsidR="00313646" w:rsidRPr="00E446A8" w:rsidRDefault="00313646" w:rsidP="00096116">
      <w:pPr>
        <w:pStyle w:val="ListParagraph"/>
        <w:ind w:left="709" w:hanging="709"/>
        <w:jc w:val="both"/>
        <w:rPr>
          <w:rFonts w:ascii="Verdana" w:hAnsi="Verdana"/>
        </w:rPr>
      </w:pPr>
    </w:p>
    <w:p w:rsidR="00313646" w:rsidRPr="00E446A8" w:rsidRDefault="00313646" w:rsidP="00096116">
      <w:pPr>
        <w:pStyle w:val="ListParagraph"/>
        <w:numPr>
          <w:ilvl w:val="1"/>
          <w:numId w:val="2"/>
        </w:numPr>
        <w:ind w:left="709" w:hanging="709"/>
        <w:jc w:val="both"/>
        <w:rPr>
          <w:rFonts w:ascii="Verdana" w:hAnsi="Verdana"/>
        </w:rPr>
      </w:pPr>
      <w:r w:rsidRPr="00E446A8">
        <w:rPr>
          <w:rFonts w:ascii="Verdana" w:hAnsi="Verdana"/>
        </w:rPr>
        <w:t>This report looks at the reason for the reduction and the current budget monitoring position once this has been taken into account.</w:t>
      </w:r>
    </w:p>
    <w:p w:rsidR="00313646" w:rsidRPr="00E446A8" w:rsidRDefault="00313646" w:rsidP="00096116">
      <w:pPr>
        <w:ind w:left="709" w:hanging="709"/>
        <w:jc w:val="both"/>
        <w:rPr>
          <w:rFonts w:ascii="Verdana" w:hAnsi="Verdana"/>
        </w:rPr>
      </w:pPr>
    </w:p>
    <w:p w:rsidR="00313646" w:rsidRPr="00E446A8" w:rsidRDefault="00313646" w:rsidP="00096116">
      <w:pPr>
        <w:ind w:left="709" w:hanging="709"/>
        <w:jc w:val="both"/>
        <w:rPr>
          <w:rFonts w:ascii="Verdana" w:hAnsi="Verdana"/>
        </w:rPr>
      </w:pPr>
    </w:p>
    <w:p w:rsidR="00313646" w:rsidRPr="00E446A8" w:rsidRDefault="00313646" w:rsidP="00096116">
      <w:pPr>
        <w:pStyle w:val="ListParagraph"/>
        <w:numPr>
          <w:ilvl w:val="0"/>
          <w:numId w:val="1"/>
        </w:numPr>
        <w:ind w:left="709" w:hanging="709"/>
        <w:jc w:val="both"/>
        <w:rPr>
          <w:rFonts w:ascii="Verdana" w:hAnsi="Verdana"/>
          <w:b/>
        </w:rPr>
      </w:pPr>
      <w:r w:rsidRPr="00E446A8">
        <w:rPr>
          <w:rFonts w:ascii="Verdana" w:hAnsi="Verdana"/>
          <w:b/>
        </w:rPr>
        <w:t>2016/2017 DSG ALLOCATION</w:t>
      </w:r>
    </w:p>
    <w:p w:rsidR="00313646" w:rsidRPr="00E446A8" w:rsidRDefault="00313646" w:rsidP="00096116">
      <w:pPr>
        <w:ind w:left="709" w:hanging="709"/>
        <w:jc w:val="both"/>
        <w:rPr>
          <w:rFonts w:ascii="Verdana" w:hAnsi="Verdana"/>
        </w:rPr>
      </w:pPr>
    </w:p>
    <w:p w:rsidR="00313646" w:rsidRPr="00E446A8" w:rsidRDefault="00313646" w:rsidP="00096116">
      <w:pPr>
        <w:ind w:left="709" w:hanging="709"/>
        <w:jc w:val="both"/>
        <w:rPr>
          <w:rFonts w:ascii="Verdana" w:hAnsi="Verdana"/>
        </w:rPr>
      </w:pPr>
      <w:r w:rsidRPr="00E446A8">
        <w:rPr>
          <w:rFonts w:ascii="Verdana" w:hAnsi="Verdana"/>
        </w:rPr>
        <w:t>2.1</w:t>
      </w:r>
      <w:r w:rsidRPr="00E446A8">
        <w:rPr>
          <w:rFonts w:ascii="Verdana" w:hAnsi="Verdana"/>
        </w:rPr>
        <w:tab/>
        <w:t>In June 2016 we reported to Schools Forum a DSG allocation of £</w:t>
      </w:r>
      <w:r>
        <w:rPr>
          <w:rFonts w:ascii="Verdana" w:hAnsi="Verdana"/>
        </w:rPr>
        <w:t>84</w:t>
      </w:r>
      <w:r w:rsidR="0092687C">
        <w:rPr>
          <w:rFonts w:ascii="Verdana" w:hAnsi="Verdana"/>
        </w:rPr>
        <w:t>,</w:t>
      </w:r>
      <w:r>
        <w:rPr>
          <w:rFonts w:ascii="Verdana" w:hAnsi="Verdana"/>
        </w:rPr>
        <w:t>319</w:t>
      </w:r>
      <w:r w:rsidR="0092687C">
        <w:rPr>
          <w:rFonts w:ascii="Verdana" w:hAnsi="Verdana"/>
        </w:rPr>
        <w:t>k</w:t>
      </w:r>
      <w:r w:rsidRPr="00E446A8">
        <w:rPr>
          <w:rFonts w:ascii="Verdana" w:hAnsi="Verdana"/>
        </w:rPr>
        <w:t xml:space="preserve">.  The </w:t>
      </w:r>
      <w:proofErr w:type="spellStart"/>
      <w:r w:rsidRPr="00E446A8">
        <w:rPr>
          <w:rFonts w:ascii="Verdana" w:hAnsi="Verdana"/>
        </w:rPr>
        <w:t>DfE</w:t>
      </w:r>
      <w:proofErr w:type="spellEnd"/>
      <w:r w:rsidRPr="00E446A8">
        <w:rPr>
          <w:rFonts w:ascii="Verdana" w:hAnsi="Verdana"/>
        </w:rPr>
        <w:t xml:space="preserve"> have since updated the DSG information to include a number of adjustments –</w:t>
      </w:r>
    </w:p>
    <w:p w:rsidR="00313646" w:rsidRPr="00E446A8" w:rsidRDefault="00313646" w:rsidP="00096116">
      <w:pPr>
        <w:ind w:left="709" w:hanging="709"/>
        <w:jc w:val="both"/>
        <w:rPr>
          <w:rFonts w:ascii="Verdana" w:hAnsi="Verdana"/>
        </w:rPr>
      </w:pPr>
    </w:p>
    <w:p w:rsidR="00313646" w:rsidRPr="00E446A8" w:rsidRDefault="00313646" w:rsidP="00313646">
      <w:pPr>
        <w:pStyle w:val="ListParagraph"/>
        <w:numPr>
          <w:ilvl w:val="0"/>
          <w:numId w:val="3"/>
        </w:numPr>
        <w:jc w:val="both"/>
        <w:rPr>
          <w:rFonts w:ascii="Verdana" w:hAnsi="Verdana"/>
        </w:rPr>
      </w:pPr>
      <w:r w:rsidRPr="00E446A8">
        <w:rPr>
          <w:rFonts w:ascii="Verdana" w:hAnsi="Verdana"/>
        </w:rPr>
        <w:t xml:space="preserve">Revised </w:t>
      </w:r>
      <w:r>
        <w:rPr>
          <w:rFonts w:ascii="Verdana" w:hAnsi="Verdana"/>
        </w:rPr>
        <w:t>e</w:t>
      </w:r>
      <w:r w:rsidRPr="00E446A8">
        <w:rPr>
          <w:rFonts w:ascii="Verdana" w:hAnsi="Verdana"/>
        </w:rPr>
        <w:t xml:space="preserve">arly </w:t>
      </w:r>
      <w:proofErr w:type="gramStart"/>
      <w:r>
        <w:rPr>
          <w:rFonts w:ascii="Verdana" w:hAnsi="Verdana"/>
        </w:rPr>
        <w:t>y</w:t>
      </w:r>
      <w:r w:rsidRPr="00E446A8">
        <w:rPr>
          <w:rFonts w:ascii="Verdana" w:hAnsi="Verdana"/>
        </w:rPr>
        <w:t>ears</w:t>
      </w:r>
      <w:proofErr w:type="gramEnd"/>
      <w:r w:rsidRPr="00E446A8">
        <w:rPr>
          <w:rFonts w:ascii="Verdana" w:hAnsi="Verdana"/>
        </w:rPr>
        <w:t xml:space="preserve"> pupil projection,</w:t>
      </w:r>
    </w:p>
    <w:p w:rsidR="00313646" w:rsidRPr="00E446A8" w:rsidRDefault="00313646" w:rsidP="00313646">
      <w:pPr>
        <w:pStyle w:val="ListParagraph"/>
        <w:numPr>
          <w:ilvl w:val="0"/>
          <w:numId w:val="3"/>
        </w:numPr>
        <w:jc w:val="both"/>
        <w:rPr>
          <w:rFonts w:ascii="Verdana" w:hAnsi="Verdana"/>
        </w:rPr>
      </w:pPr>
      <w:r w:rsidRPr="00E446A8">
        <w:rPr>
          <w:rFonts w:ascii="Verdana" w:hAnsi="Verdana"/>
        </w:rPr>
        <w:t xml:space="preserve">A move to funding </w:t>
      </w:r>
      <w:r>
        <w:rPr>
          <w:rFonts w:ascii="Verdana" w:hAnsi="Verdana"/>
        </w:rPr>
        <w:t>e</w:t>
      </w:r>
      <w:r w:rsidRPr="00E446A8">
        <w:rPr>
          <w:rFonts w:ascii="Verdana" w:hAnsi="Verdana"/>
        </w:rPr>
        <w:t xml:space="preserve">arly </w:t>
      </w:r>
      <w:proofErr w:type="gramStart"/>
      <w:r>
        <w:rPr>
          <w:rFonts w:ascii="Verdana" w:hAnsi="Verdana"/>
        </w:rPr>
        <w:t>y</w:t>
      </w:r>
      <w:r w:rsidRPr="00E446A8">
        <w:rPr>
          <w:rFonts w:ascii="Verdana" w:hAnsi="Verdana"/>
        </w:rPr>
        <w:t>ears</w:t>
      </w:r>
      <w:proofErr w:type="gramEnd"/>
      <w:r w:rsidRPr="00E446A8">
        <w:rPr>
          <w:rFonts w:ascii="Verdana" w:hAnsi="Verdana"/>
        </w:rPr>
        <w:t xml:space="preserve"> </w:t>
      </w:r>
      <w:r>
        <w:rPr>
          <w:rFonts w:ascii="Verdana" w:hAnsi="Verdana"/>
        </w:rPr>
        <w:t>p</w:t>
      </w:r>
      <w:r w:rsidRPr="00E446A8">
        <w:rPr>
          <w:rFonts w:ascii="Verdana" w:hAnsi="Verdana"/>
        </w:rPr>
        <w:t xml:space="preserve">upil </w:t>
      </w:r>
      <w:r>
        <w:rPr>
          <w:rFonts w:ascii="Verdana" w:hAnsi="Verdana"/>
        </w:rPr>
        <w:t>p</w:t>
      </w:r>
      <w:r w:rsidRPr="00E446A8">
        <w:rPr>
          <w:rFonts w:ascii="Verdana" w:hAnsi="Verdana"/>
        </w:rPr>
        <w:t xml:space="preserve">remium using data from the </w:t>
      </w:r>
      <w:r>
        <w:rPr>
          <w:rFonts w:ascii="Verdana" w:hAnsi="Verdana"/>
        </w:rPr>
        <w:t>s</w:t>
      </w:r>
      <w:r w:rsidRPr="00E446A8">
        <w:rPr>
          <w:rFonts w:ascii="Verdana" w:hAnsi="Verdana"/>
        </w:rPr>
        <w:t xml:space="preserve">chools and </w:t>
      </w:r>
      <w:r>
        <w:rPr>
          <w:rFonts w:ascii="Verdana" w:hAnsi="Verdana"/>
        </w:rPr>
        <w:t>e</w:t>
      </w:r>
      <w:r w:rsidRPr="00E446A8">
        <w:rPr>
          <w:rFonts w:ascii="Verdana" w:hAnsi="Verdana"/>
        </w:rPr>
        <w:t xml:space="preserve">arly </w:t>
      </w:r>
      <w:r>
        <w:rPr>
          <w:rFonts w:ascii="Verdana" w:hAnsi="Verdana"/>
        </w:rPr>
        <w:t>y</w:t>
      </w:r>
      <w:r w:rsidRPr="00E446A8">
        <w:rPr>
          <w:rFonts w:ascii="Verdana" w:hAnsi="Verdana"/>
        </w:rPr>
        <w:t>ears census’,</w:t>
      </w:r>
    </w:p>
    <w:p w:rsidR="00313646" w:rsidRPr="00E446A8" w:rsidRDefault="00313646" w:rsidP="00313646">
      <w:pPr>
        <w:pStyle w:val="ListParagraph"/>
        <w:numPr>
          <w:ilvl w:val="0"/>
          <w:numId w:val="3"/>
        </w:numPr>
        <w:jc w:val="both"/>
        <w:rPr>
          <w:rFonts w:ascii="Verdana" w:hAnsi="Verdana"/>
        </w:rPr>
      </w:pPr>
      <w:r w:rsidRPr="00E446A8">
        <w:rPr>
          <w:rFonts w:ascii="Verdana" w:hAnsi="Verdana"/>
        </w:rPr>
        <w:t xml:space="preserve">Providing information on the cash adjustments to DSG received by the local authority for the prior year early </w:t>
      </w:r>
      <w:proofErr w:type="gramStart"/>
      <w:r w:rsidRPr="00E446A8">
        <w:rPr>
          <w:rFonts w:ascii="Verdana" w:hAnsi="Verdana"/>
        </w:rPr>
        <w:t>years</w:t>
      </w:r>
      <w:proofErr w:type="gramEnd"/>
      <w:r w:rsidRPr="00E446A8">
        <w:rPr>
          <w:rFonts w:ascii="Verdana" w:hAnsi="Verdana"/>
        </w:rPr>
        <w:t xml:space="preserve"> adjustment and copyright li</w:t>
      </w:r>
      <w:r>
        <w:rPr>
          <w:rFonts w:ascii="Verdana" w:hAnsi="Verdana"/>
        </w:rPr>
        <w:t>c</w:t>
      </w:r>
      <w:r w:rsidRPr="00E446A8">
        <w:rPr>
          <w:rFonts w:ascii="Verdana" w:hAnsi="Verdana"/>
        </w:rPr>
        <w:t>en</w:t>
      </w:r>
      <w:r>
        <w:rPr>
          <w:rFonts w:ascii="Verdana" w:hAnsi="Verdana"/>
        </w:rPr>
        <w:t>s</w:t>
      </w:r>
      <w:r w:rsidRPr="00E446A8">
        <w:rPr>
          <w:rFonts w:ascii="Verdana" w:hAnsi="Verdana"/>
        </w:rPr>
        <w:t>ing,</w:t>
      </w:r>
    </w:p>
    <w:p w:rsidR="00313646" w:rsidRPr="00E446A8" w:rsidRDefault="00313646" w:rsidP="00313646">
      <w:pPr>
        <w:ind w:left="567" w:hanging="567"/>
        <w:jc w:val="both"/>
        <w:rPr>
          <w:rFonts w:ascii="Verdana" w:hAnsi="Verdana"/>
        </w:rPr>
      </w:pPr>
    </w:p>
    <w:p w:rsidR="00313646" w:rsidRPr="00E446A8" w:rsidRDefault="00313646" w:rsidP="00096116">
      <w:pPr>
        <w:ind w:left="709" w:hanging="709"/>
        <w:jc w:val="both"/>
        <w:rPr>
          <w:rFonts w:ascii="Verdana" w:hAnsi="Verdana"/>
        </w:rPr>
      </w:pPr>
      <w:r w:rsidRPr="00E446A8">
        <w:rPr>
          <w:rFonts w:ascii="Verdana" w:hAnsi="Verdana"/>
        </w:rPr>
        <w:t>2.2</w:t>
      </w:r>
      <w:r w:rsidRPr="00E446A8">
        <w:rPr>
          <w:rFonts w:ascii="Verdana" w:hAnsi="Verdana"/>
        </w:rPr>
        <w:tab/>
      </w:r>
      <w:r w:rsidR="00325310">
        <w:rPr>
          <w:rFonts w:ascii="Verdana" w:hAnsi="Verdana"/>
        </w:rPr>
        <w:t>Table 1</w:t>
      </w:r>
      <w:r w:rsidRPr="00E446A8">
        <w:rPr>
          <w:rFonts w:ascii="Verdana" w:hAnsi="Verdana"/>
        </w:rPr>
        <w:t xml:space="preserve"> below shows a comparison between the DSG allocation as reported to Schools Forum in June and the current </w:t>
      </w:r>
      <w:proofErr w:type="spellStart"/>
      <w:r w:rsidRPr="00E446A8">
        <w:rPr>
          <w:rFonts w:ascii="Verdana" w:hAnsi="Verdana"/>
        </w:rPr>
        <w:t>DfE</w:t>
      </w:r>
      <w:proofErr w:type="spellEnd"/>
      <w:r w:rsidRPr="00E446A8">
        <w:rPr>
          <w:rFonts w:ascii="Verdana" w:hAnsi="Verdana"/>
        </w:rPr>
        <w:t xml:space="preserve"> allocation.</w:t>
      </w:r>
      <w:r w:rsidR="00325310" w:rsidRPr="00325310">
        <w:rPr>
          <w:rFonts w:ascii="Verdana" w:hAnsi="Verdana"/>
          <w:b/>
        </w:rPr>
        <w:t xml:space="preserve"> </w:t>
      </w:r>
      <w:r w:rsidR="00325310" w:rsidRPr="00325310">
        <w:rPr>
          <w:rFonts w:ascii="Verdana" w:hAnsi="Verdana"/>
          <w:b/>
        </w:rPr>
        <w:br w:type="page"/>
      </w:r>
    </w:p>
    <w:p w:rsidR="00313646" w:rsidRPr="00325310" w:rsidRDefault="00325310" w:rsidP="00325310">
      <w:pPr>
        <w:ind w:firstLine="567"/>
        <w:rPr>
          <w:rFonts w:ascii="Verdana" w:hAnsi="Verdana"/>
          <w:b/>
        </w:rPr>
      </w:pPr>
      <w:r w:rsidRPr="00325310">
        <w:rPr>
          <w:rFonts w:ascii="Verdana" w:hAnsi="Verdana"/>
          <w:b/>
        </w:rPr>
        <w:lastRenderedPageBreak/>
        <w:t>Table 1</w:t>
      </w:r>
    </w:p>
    <w:tbl>
      <w:tblPr>
        <w:tblW w:w="864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59"/>
        <w:gridCol w:w="1701"/>
        <w:gridCol w:w="1622"/>
        <w:gridCol w:w="1760"/>
      </w:tblGrid>
      <w:tr w:rsidR="00313646" w:rsidRPr="006A3E74" w:rsidTr="00D052FA">
        <w:trPr>
          <w:trHeight w:val="966"/>
          <w:jc w:val="center"/>
        </w:trPr>
        <w:tc>
          <w:tcPr>
            <w:tcW w:w="3559" w:type="dxa"/>
            <w:tcBorders>
              <w:top w:val="single" w:sz="12" w:space="0" w:color="auto"/>
              <w:bottom w:val="nil"/>
            </w:tcBorders>
            <w:shd w:val="clear" w:color="auto" w:fill="F2F2F2" w:themeFill="background1" w:themeFillShade="F2"/>
            <w:noWrap/>
            <w:vAlign w:val="center"/>
            <w:hideMark/>
          </w:tcPr>
          <w:p w:rsidR="00313646" w:rsidRPr="00073D70" w:rsidRDefault="00313646" w:rsidP="00D052FA">
            <w:pPr>
              <w:jc w:val="center"/>
              <w:rPr>
                <w:rFonts w:ascii="Verdana" w:eastAsia="Times New Roman" w:hAnsi="Verdana" w:cs="Arial"/>
                <w:b/>
                <w:color w:val="000000"/>
                <w:sz w:val="20"/>
                <w:szCs w:val="20"/>
                <w:lang w:eastAsia="en-GB"/>
              </w:rPr>
            </w:pPr>
          </w:p>
        </w:tc>
        <w:tc>
          <w:tcPr>
            <w:tcW w:w="1701" w:type="dxa"/>
            <w:tcBorders>
              <w:top w:val="single" w:sz="12" w:space="0" w:color="auto"/>
              <w:bottom w:val="nil"/>
            </w:tcBorders>
            <w:shd w:val="clear" w:color="auto" w:fill="F2F2F2" w:themeFill="background1" w:themeFillShade="F2"/>
            <w:noWrap/>
            <w:vAlign w:val="center"/>
            <w:hideMark/>
          </w:tcPr>
          <w:p w:rsidR="00313646" w:rsidRPr="00073D70" w:rsidRDefault="00313646" w:rsidP="00D052FA">
            <w:pPr>
              <w:jc w:val="center"/>
              <w:rPr>
                <w:rFonts w:ascii="Verdana" w:eastAsia="Times New Roman" w:hAnsi="Verdana" w:cs="Arial"/>
                <w:b/>
                <w:bCs/>
                <w:iCs/>
                <w:sz w:val="20"/>
                <w:szCs w:val="20"/>
                <w:lang w:eastAsia="en-GB"/>
              </w:rPr>
            </w:pPr>
            <w:r w:rsidRPr="00073D70">
              <w:rPr>
                <w:rFonts w:ascii="Verdana" w:eastAsia="Times New Roman" w:hAnsi="Verdana" w:cs="Arial"/>
                <w:b/>
                <w:bCs/>
                <w:iCs/>
                <w:sz w:val="20"/>
                <w:szCs w:val="20"/>
                <w:lang w:eastAsia="en-GB"/>
              </w:rPr>
              <w:t>2016/2017 DSG</w:t>
            </w:r>
          </w:p>
          <w:p w:rsidR="00313646" w:rsidRPr="00073D70" w:rsidRDefault="00313646" w:rsidP="00D052FA">
            <w:pPr>
              <w:jc w:val="center"/>
              <w:rPr>
                <w:rFonts w:ascii="Verdana" w:eastAsia="Times New Roman" w:hAnsi="Verdana" w:cs="Arial"/>
                <w:b/>
                <w:bCs/>
                <w:iCs/>
                <w:sz w:val="20"/>
                <w:szCs w:val="20"/>
                <w:lang w:eastAsia="en-GB"/>
              </w:rPr>
            </w:pPr>
            <w:r w:rsidRPr="00073D70">
              <w:rPr>
                <w:rFonts w:ascii="Verdana" w:eastAsia="Times New Roman" w:hAnsi="Verdana" w:cs="Arial"/>
                <w:b/>
                <w:bCs/>
                <w:iCs/>
                <w:sz w:val="20"/>
                <w:szCs w:val="20"/>
                <w:lang w:eastAsia="en-GB"/>
              </w:rPr>
              <w:t>June</w:t>
            </w:r>
          </w:p>
        </w:tc>
        <w:tc>
          <w:tcPr>
            <w:tcW w:w="1622" w:type="dxa"/>
            <w:tcBorders>
              <w:top w:val="single" w:sz="12" w:space="0" w:color="auto"/>
              <w:bottom w:val="nil"/>
            </w:tcBorders>
            <w:shd w:val="clear" w:color="auto" w:fill="F2F2F2" w:themeFill="background1" w:themeFillShade="F2"/>
            <w:noWrap/>
            <w:vAlign w:val="center"/>
            <w:hideMark/>
          </w:tcPr>
          <w:p w:rsidR="00313646" w:rsidRPr="00073D70" w:rsidRDefault="00313646" w:rsidP="00D052FA">
            <w:pPr>
              <w:jc w:val="center"/>
              <w:rPr>
                <w:rFonts w:ascii="Verdana" w:eastAsia="Times New Roman" w:hAnsi="Verdana" w:cs="Arial"/>
                <w:b/>
                <w:bCs/>
                <w:iCs/>
                <w:color w:val="000000"/>
                <w:sz w:val="20"/>
                <w:szCs w:val="20"/>
                <w:lang w:eastAsia="en-GB"/>
              </w:rPr>
            </w:pPr>
            <w:r w:rsidRPr="00073D70">
              <w:rPr>
                <w:rFonts w:ascii="Verdana" w:eastAsia="Times New Roman" w:hAnsi="Verdana" w:cs="Arial"/>
                <w:b/>
                <w:bCs/>
                <w:iCs/>
                <w:color w:val="000000"/>
                <w:sz w:val="20"/>
                <w:szCs w:val="20"/>
                <w:lang w:eastAsia="en-GB"/>
              </w:rPr>
              <w:t>Change</w:t>
            </w:r>
          </w:p>
        </w:tc>
        <w:tc>
          <w:tcPr>
            <w:tcW w:w="1760" w:type="dxa"/>
            <w:tcBorders>
              <w:top w:val="single" w:sz="12" w:space="0" w:color="auto"/>
              <w:bottom w:val="nil"/>
            </w:tcBorders>
            <w:shd w:val="clear" w:color="auto" w:fill="F2F2F2" w:themeFill="background1" w:themeFillShade="F2"/>
            <w:noWrap/>
            <w:vAlign w:val="center"/>
            <w:hideMark/>
          </w:tcPr>
          <w:p w:rsidR="00313646" w:rsidRPr="00073D70" w:rsidRDefault="00313646" w:rsidP="00D052FA">
            <w:pPr>
              <w:jc w:val="center"/>
              <w:rPr>
                <w:rFonts w:ascii="Verdana" w:eastAsia="Times New Roman" w:hAnsi="Verdana" w:cs="Arial"/>
                <w:b/>
                <w:bCs/>
                <w:iCs/>
                <w:sz w:val="20"/>
                <w:szCs w:val="20"/>
                <w:lang w:eastAsia="en-GB"/>
              </w:rPr>
            </w:pPr>
            <w:r w:rsidRPr="00073D70">
              <w:rPr>
                <w:rFonts w:ascii="Verdana" w:eastAsia="Times New Roman" w:hAnsi="Verdana" w:cs="Arial"/>
                <w:b/>
                <w:bCs/>
                <w:iCs/>
                <w:sz w:val="20"/>
                <w:szCs w:val="20"/>
                <w:lang w:eastAsia="en-GB"/>
              </w:rPr>
              <w:t>2016/2017 DSG</w:t>
            </w:r>
          </w:p>
          <w:p w:rsidR="00313646" w:rsidRPr="00073D70" w:rsidRDefault="00313646" w:rsidP="00D052FA">
            <w:pPr>
              <w:jc w:val="center"/>
              <w:rPr>
                <w:rFonts w:ascii="Verdana" w:eastAsia="Times New Roman" w:hAnsi="Verdana" w:cs="Arial"/>
                <w:b/>
                <w:bCs/>
                <w:iCs/>
                <w:sz w:val="20"/>
                <w:szCs w:val="20"/>
                <w:lang w:eastAsia="en-GB"/>
              </w:rPr>
            </w:pPr>
            <w:r w:rsidRPr="00073D70">
              <w:rPr>
                <w:rFonts w:ascii="Verdana" w:eastAsia="Times New Roman" w:hAnsi="Verdana" w:cs="Arial"/>
                <w:b/>
                <w:bCs/>
                <w:iCs/>
                <w:sz w:val="20"/>
                <w:szCs w:val="20"/>
                <w:lang w:eastAsia="en-GB"/>
              </w:rPr>
              <w:t>October</w:t>
            </w:r>
          </w:p>
        </w:tc>
      </w:tr>
      <w:tr w:rsidR="00096116" w:rsidRPr="001A34E5" w:rsidTr="00073D70">
        <w:trPr>
          <w:trHeight w:val="225"/>
          <w:jc w:val="center"/>
        </w:trPr>
        <w:tc>
          <w:tcPr>
            <w:tcW w:w="3559" w:type="dxa"/>
            <w:tcBorders>
              <w:top w:val="nil"/>
            </w:tcBorders>
            <w:shd w:val="clear" w:color="auto" w:fill="auto"/>
            <w:noWrap/>
            <w:vAlign w:val="bottom"/>
            <w:hideMark/>
          </w:tcPr>
          <w:p w:rsidR="00096116" w:rsidRPr="00073D70" w:rsidRDefault="00096116" w:rsidP="00342B17">
            <w:pPr>
              <w:rPr>
                <w:rFonts w:ascii="Verdana" w:eastAsia="Times New Roman" w:hAnsi="Verdana" w:cs="Arial"/>
                <w:color w:val="000000"/>
                <w:sz w:val="20"/>
                <w:szCs w:val="20"/>
                <w:lang w:eastAsia="en-GB"/>
              </w:rPr>
            </w:pPr>
          </w:p>
        </w:tc>
        <w:tc>
          <w:tcPr>
            <w:tcW w:w="1701" w:type="dxa"/>
            <w:tcBorders>
              <w:top w:val="nil"/>
            </w:tcBorders>
            <w:shd w:val="clear" w:color="auto" w:fill="auto"/>
            <w:noWrap/>
            <w:vAlign w:val="bottom"/>
            <w:hideMark/>
          </w:tcPr>
          <w:p w:rsidR="00096116" w:rsidRPr="00073D70" w:rsidRDefault="00096116" w:rsidP="00342B17">
            <w:pPr>
              <w:jc w:val="center"/>
              <w:rPr>
                <w:rFonts w:ascii="Verdana" w:eastAsia="Times New Roman" w:hAnsi="Verdana" w:cs="Arial"/>
                <w:b/>
                <w:i/>
                <w:color w:val="000000"/>
                <w:sz w:val="20"/>
                <w:szCs w:val="20"/>
                <w:lang w:eastAsia="en-GB"/>
              </w:rPr>
            </w:pPr>
          </w:p>
        </w:tc>
        <w:tc>
          <w:tcPr>
            <w:tcW w:w="1622" w:type="dxa"/>
            <w:tcBorders>
              <w:top w:val="nil"/>
            </w:tcBorders>
            <w:shd w:val="clear" w:color="auto" w:fill="auto"/>
            <w:noWrap/>
            <w:vAlign w:val="bottom"/>
            <w:hideMark/>
          </w:tcPr>
          <w:p w:rsidR="00096116" w:rsidRPr="00073D70" w:rsidRDefault="00096116" w:rsidP="00342B17">
            <w:pPr>
              <w:jc w:val="center"/>
              <w:rPr>
                <w:rFonts w:ascii="Verdana" w:eastAsia="Times New Roman" w:hAnsi="Verdana" w:cs="Arial"/>
                <w:b/>
                <w:i/>
                <w:color w:val="000000"/>
                <w:sz w:val="20"/>
                <w:szCs w:val="20"/>
                <w:lang w:eastAsia="en-GB"/>
              </w:rPr>
            </w:pPr>
          </w:p>
        </w:tc>
        <w:tc>
          <w:tcPr>
            <w:tcW w:w="1760" w:type="dxa"/>
            <w:tcBorders>
              <w:top w:val="nil"/>
            </w:tcBorders>
            <w:shd w:val="clear" w:color="auto" w:fill="auto"/>
            <w:noWrap/>
            <w:vAlign w:val="bottom"/>
            <w:hideMark/>
          </w:tcPr>
          <w:p w:rsidR="00096116" w:rsidRPr="00073D70" w:rsidRDefault="00096116" w:rsidP="00342B17">
            <w:pPr>
              <w:jc w:val="center"/>
              <w:rPr>
                <w:rFonts w:ascii="Verdana" w:eastAsia="Times New Roman" w:hAnsi="Verdana" w:cs="Arial"/>
                <w:b/>
                <w:i/>
                <w:color w:val="000000"/>
                <w:sz w:val="20"/>
                <w:szCs w:val="20"/>
                <w:lang w:eastAsia="en-GB"/>
              </w:rPr>
            </w:pPr>
          </w:p>
        </w:tc>
      </w:tr>
      <w:tr w:rsidR="00313646" w:rsidRPr="001A34E5" w:rsidTr="00073D70">
        <w:trPr>
          <w:trHeight w:val="225"/>
          <w:jc w:val="center"/>
        </w:trPr>
        <w:tc>
          <w:tcPr>
            <w:tcW w:w="3559" w:type="dxa"/>
            <w:tcBorders>
              <w:top w:val="nil"/>
            </w:tcBorders>
            <w:shd w:val="clear" w:color="auto" w:fill="auto"/>
            <w:noWrap/>
            <w:vAlign w:val="bottom"/>
            <w:hideMark/>
          </w:tcPr>
          <w:p w:rsidR="00313646" w:rsidRPr="00073D70" w:rsidRDefault="00313646" w:rsidP="00342B17">
            <w:pPr>
              <w:rPr>
                <w:rFonts w:ascii="Verdana" w:eastAsia="Times New Roman" w:hAnsi="Verdana" w:cs="Arial"/>
                <w:color w:val="000000"/>
                <w:sz w:val="20"/>
                <w:szCs w:val="20"/>
                <w:lang w:eastAsia="en-GB"/>
              </w:rPr>
            </w:pPr>
          </w:p>
        </w:tc>
        <w:tc>
          <w:tcPr>
            <w:tcW w:w="1701" w:type="dxa"/>
            <w:tcBorders>
              <w:top w:val="nil"/>
            </w:tcBorders>
            <w:shd w:val="clear" w:color="auto" w:fill="auto"/>
            <w:noWrap/>
            <w:vAlign w:val="bottom"/>
            <w:hideMark/>
          </w:tcPr>
          <w:p w:rsidR="00313646" w:rsidRPr="00073D70" w:rsidRDefault="00313646" w:rsidP="00342B17">
            <w:pPr>
              <w:jc w:val="center"/>
              <w:rPr>
                <w:rFonts w:ascii="Verdana" w:eastAsia="Times New Roman" w:hAnsi="Verdana" w:cs="Arial"/>
                <w:b/>
                <w:i/>
                <w:color w:val="000000"/>
                <w:sz w:val="20"/>
                <w:szCs w:val="20"/>
                <w:lang w:eastAsia="en-GB"/>
              </w:rPr>
            </w:pPr>
            <w:r w:rsidRPr="00073D70">
              <w:rPr>
                <w:rFonts w:ascii="Verdana" w:eastAsia="Times New Roman" w:hAnsi="Verdana" w:cs="Arial"/>
                <w:b/>
                <w:i/>
                <w:color w:val="000000"/>
                <w:sz w:val="20"/>
                <w:szCs w:val="20"/>
                <w:lang w:eastAsia="en-GB"/>
              </w:rPr>
              <w:t>£’000</w:t>
            </w:r>
          </w:p>
        </w:tc>
        <w:tc>
          <w:tcPr>
            <w:tcW w:w="1622" w:type="dxa"/>
            <w:tcBorders>
              <w:top w:val="nil"/>
            </w:tcBorders>
            <w:shd w:val="clear" w:color="auto" w:fill="auto"/>
            <w:noWrap/>
            <w:vAlign w:val="bottom"/>
            <w:hideMark/>
          </w:tcPr>
          <w:p w:rsidR="00313646" w:rsidRPr="00073D70" w:rsidRDefault="00313646" w:rsidP="00342B17">
            <w:pPr>
              <w:jc w:val="center"/>
              <w:rPr>
                <w:rFonts w:ascii="Verdana" w:eastAsia="Times New Roman" w:hAnsi="Verdana" w:cs="Arial"/>
                <w:b/>
                <w:bCs/>
                <w:i/>
                <w:iCs/>
                <w:color w:val="000000"/>
                <w:sz w:val="20"/>
                <w:szCs w:val="20"/>
                <w:lang w:eastAsia="en-GB"/>
              </w:rPr>
            </w:pPr>
            <w:r w:rsidRPr="00073D70">
              <w:rPr>
                <w:rFonts w:ascii="Verdana" w:eastAsia="Times New Roman" w:hAnsi="Verdana" w:cs="Arial"/>
                <w:b/>
                <w:i/>
                <w:color w:val="000000"/>
                <w:sz w:val="20"/>
                <w:szCs w:val="20"/>
                <w:lang w:eastAsia="en-GB"/>
              </w:rPr>
              <w:t>£’000</w:t>
            </w:r>
          </w:p>
        </w:tc>
        <w:tc>
          <w:tcPr>
            <w:tcW w:w="1760" w:type="dxa"/>
            <w:tcBorders>
              <w:top w:val="nil"/>
            </w:tcBorders>
            <w:shd w:val="clear" w:color="auto" w:fill="auto"/>
            <w:noWrap/>
            <w:vAlign w:val="bottom"/>
            <w:hideMark/>
          </w:tcPr>
          <w:p w:rsidR="00313646" w:rsidRPr="00073D70" w:rsidRDefault="00313646" w:rsidP="00342B17">
            <w:pPr>
              <w:jc w:val="center"/>
              <w:rPr>
                <w:rFonts w:ascii="Verdana" w:eastAsia="Times New Roman" w:hAnsi="Verdana" w:cs="Arial"/>
                <w:b/>
                <w:i/>
                <w:color w:val="000000"/>
                <w:sz w:val="20"/>
                <w:szCs w:val="20"/>
                <w:lang w:eastAsia="en-GB"/>
              </w:rPr>
            </w:pPr>
            <w:r w:rsidRPr="00073D70">
              <w:rPr>
                <w:rFonts w:ascii="Verdana" w:eastAsia="Times New Roman" w:hAnsi="Verdana" w:cs="Arial"/>
                <w:b/>
                <w:i/>
                <w:color w:val="000000"/>
                <w:sz w:val="20"/>
                <w:szCs w:val="20"/>
                <w:lang w:eastAsia="en-GB"/>
              </w:rPr>
              <w:t>£’000</w:t>
            </w:r>
          </w:p>
        </w:tc>
      </w:tr>
      <w:tr w:rsidR="00096116" w:rsidRPr="001A34E5" w:rsidTr="00073D70">
        <w:trPr>
          <w:trHeight w:val="225"/>
          <w:jc w:val="center"/>
        </w:trPr>
        <w:tc>
          <w:tcPr>
            <w:tcW w:w="3559" w:type="dxa"/>
            <w:tcBorders>
              <w:top w:val="nil"/>
            </w:tcBorders>
            <w:shd w:val="clear" w:color="auto" w:fill="auto"/>
            <w:noWrap/>
            <w:vAlign w:val="bottom"/>
            <w:hideMark/>
          </w:tcPr>
          <w:p w:rsidR="00096116" w:rsidRPr="00073D70" w:rsidRDefault="00096116" w:rsidP="00342B17">
            <w:pPr>
              <w:rPr>
                <w:rFonts w:ascii="Verdana" w:eastAsia="Times New Roman" w:hAnsi="Verdana" w:cs="Arial"/>
                <w:color w:val="000000"/>
                <w:sz w:val="20"/>
                <w:szCs w:val="20"/>
                <w:lang w:eastAsia="en-GB"/>
              </w:rPr>
            </w:pPr>
          </w:p>
        </w:tc>
        <w:tc>
          <w:tcPr>
            <w:tcW w:w="1701" w:type="dxa"/>
            <w:tcBorders>
              <w:top w:val="nil"/>
            </w:tcBorders>
            <w:shd w:val="clear" w:color="auto" w:fill="auto"/>
            <w:noWrap/>
            <w:vAlign w:val="bottom"/>
            <w:hideMark/>
          </w:tcPr>
          <w:p w:rsidR="00096116" w:rsidRPr="00073D70" w:rsidRDefault="00096116" w:rsidP="00342B17">
            <w:pPr>
              <w:jc w:val="center"/>
              <w:rPr>
                <w:rFonts w:ascii="Verdana" w:eastAsia="Times New Roman" w:hAnsi="Verdana" w:cs="Arial"/>
                <w:b/>
                <w:i/>
                <w:color w:val="000000"/>
                <w:sz w:val="20"/>
                <w:szCs w:val="20"/>
                <w:lang w:eastAsia="en-GB"/>
              </w:rPr>
            </w:pPr>
          </w:p>
        </w:tc>
        <w:tc>
          <w:tcPr>
            <w:tcW w:w="1622" w:type="dxa"/>
            <w:tcBorders>
              <w:top w:val="nil"/>
            </w:tcBorders>
            <w:shd w:val="clear" w:color="auto" w:fill="auto"/>
            <w:noWrap/>
            <w:vAlign w:val="bottom"/>
            <w:hideMark/>
          </w:tcPr>
          <w:p w:rsidR="00096116" w:rsidRPr="00073D70" w:rsidRDefault="00096116" w:rsidP="00342B17">
            <w:pPr>
              <w:jc w:val="center"/>
              <w:rPr>
                <w:rFonts w:ascii="Verdana" w:eastAsia="Times New Roman" w:hAnsi="Verdana" w:cs="Arial"/>
                <w:b/>
                <w:i/>
                <w:color w:val="000000"/>
                <w:sz w:val="20"/>
                <w:szCs w:val="20"/>
                <w:lang w:eastAsia="en-GB"/>
              </w:rPr>
            </w:pPr>
          </w:p>
        </w:tc>
        <w:tc>
          <w:tcPr>
            <w:tcW w:w="1760" w:type="dxa"/>
            <w:tcBorders>
              <w:top w:val="nil"/>
            </w:tcBorders>
            <w:shd w:val="clear" w:color="auto" w:fill="auto"/>
            <w:noWrap/>
            <w:vAlign w:val="bottom"/>
            <w:hideMark/>
          </w:tcPr>
          <w:p w:rsidR="00096116" w:rsidRPr="00073D70" w:rsidRDefault="00096116" w:rsidP="00342B17">
            <w:pPr>
              <w:jc w:val="center"/>
              <w:rPr>
                <w:rFonts w:ascii="Verdana" w:eastAsia="Times New Roman" w:hAnsi="Verdana" w:cs="Arial"/>
                <w:b/>
                <w:i/>
                <w:color w:val="000000"/>
                <w:sz w:val="20"/>
                <w:szCs w:val="20"/>
                <w:lang w:eastAsia="en-GB"/>
              </w:rPr>
            </w:pPr>
          </w:p>
        </w:tc>
      </w:tr>
      <w:tr w:rsidR="00313646" w:rsidRPr="001A34E5" w:rsidTr="00313646">
        <w:trPr>
          <w:trHeight w:val="300"/>
          <w:jc w:val="center"/>
        </w:trPr>
        <w:tc>
          <w:tcPr>
            <w:tcW w:w="3559" w:type="dxa"/>
            <w:shd w:val="clear" w:color="auto" w:fill="auto"/>
            <w:noWrap/>
            <w:vAlign w:val="bottom"/>
            <w:hideMark/>
          </w:tcPr>
          <w:p w:rsidR="00313646" w:rsidRPr="00073D70" w:rsidRDefault="00313646" w:rsidP="00342B17">
            <w:pPr>
              <w:rPr>
                <w:rFonts w:ascii="Verdana" w:eastAsia="Times New Roman" w:hAnsi="Verdana" w:cs="Arial"/>
                <w:b/>
                <w:bCs/>
                <w:color w:val="000000"/>
                <w:sz w:val="20"/>
                <w:szCs w:val="20"/>
                <w:lang w:eastAsia="en-GB"/>
              </w:rPr>
            </w:pPr>
            <w:r w:rsidRPr="00073D70">
              <w:rPr>
                <w:rFonts w:ascii="Verdana" w:eastAsia="Times New Roman" w:hAnsi="Verdana" w:cs="Arial"/>
                <w:b/>
                <w:bCs/>
                <w:color w:val="000000"/>
                <w:sz w:val="20"/>
                <w:szCs w:val="20"/>
                <w:lang w:eastAsia="en-GB"/>
              </w:rPr>
              <w:t>Early Years Pupil Funding</w:t>
            </w:r>
          </w:p>
        </w:tc>
        <w:tc>
          <w:tcPr>
            <w:tcW w:w="1701"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 xml:space="preserve">10,815 </w:t>
            </w:r>
          </w:p>
        </w:tc>
        <w:tc>
          <w:tcPr>
            <w:tcW w:w="1622"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 xml:space="preserve"> - 657</w:t>
            </w:r>
          </w:p>
        </w:tc>
        <w:tc>
          <w:tcPr>
            <w:tcW w:w="1760"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 xml:space="preserve">10,158 </w:t>
            </w:r>
          </w:p>
        </w:tc>
      </w:tr>
      <w:tr w:rsidR="00313646" w:rsidRPr="001A34E5" w:rsidTr="00313646">
        <w:trPr>
          <w:trHeight w:val="300"/>
          <w:jc w:val="center"/>
        </w:trPr>
        <w:tc>
          <w:tcPr>
            <w:tcW w:w="3559" w:type="dxa"/>
            <w:shd w:val="clear" w:color="auto" w:fill="auto"/>
            <w:noWrap/>
            <w:vAlign w:val="bottom"/>
            <w:hideMark/>
          </w:tcPr>
          <w:p w:rsidR="00313646" w:rsidRPr="00073D70" w:rsidRDefault="00313646" w:rsidP="00342B17">
            <w:pPr>
              <w:ind w:firstLineChars="100" w:firstLine="200"/>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2YO Funding</w:t>
            </w:r>
          </w:p>
        </w:tc>
        <w:tc>
          <w:tcPr>
            <w:tcW w:w="1701"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 xml:space="preserve">         1,194 </w:t>
            </w:r>
          </w:p>
        </w:tc>
        <w:tc>
          <w:tcPr>
            <w:tcW w:w="1622"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- 23</w:t>
            </w:r>
          </w:p>
        </w:tc>
        <w:tc>
          <w:tcPr>
            <w:tcW w:w="1760"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 xml:space="preserve">         1,171 </w:t>
            </w:r>
          </w:p>
        </w:tc>
      </w:tr>
      <w:tr w:rsidR="00313646" w:rsidRPr="001A34E5" w:rsidTr="00313646">
        <w:trPr>
          <w:trHeight w:val="300"/>
          <w:jc w:val="center"/>
        </w:trPr>
        <w:tc>
          <w:tcPr>
            <w:tcW w:w="3559" w:type="dxa"/>
            <w:shd w:val="clear" w:color="auto" w:fill="auto"/>
            <w:noWrap/>
            <w:vAlign w:val="bottom"/>
            <w:hideMark/>
          </w:tcPr>
          <w:p w:rsidR="00313646" w:rsidRPr="00073D70" w:rsidRDefault="00313646" w:rsidP="00342B17">
            <w:pPr>
              <w:ind w:firstLineChars="100" w:firstLine="200"/>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Early Years Pupil Premium</w:t>
            </w:r>
          </w:p>
        </w:tc>
        <w:tc>
          <w:tcPr>
            <w:tcW w:w="1701"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 xml:space="preserve">         316 </w:t>
            </w:r>
          </w:p>
        </w:tc>
        <w:tc>
          <w:tcPr>
            <w:tcW w:w="1622"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- 207</w:t>
            </w:r>
          </w:p>
        </w:tc>
        <w:tc>
          <w:tcPr>
            <w:tcW w:w="1760"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109</w:t>
            </w:r>
          </w:p>
        </w:tc>
      </w:tr>
      <w:tr w:rsidR="00313646" w:rsidRPr="001A34E5" w:rsidTr="00313646">
        <w:trPr>
          <w:trHeight w:val="300"/>
          <w:jc w:val="center"/>
        </w:trPr>
        <w:tc>
          <w:tcPr>
            <w:tcW w:w="3559" w:type="dxa"/>
            <w:shd w:val="clear" w:color="auto" w:fill="auto"/>
            <w:noWrap/>
            <w:vAlign w:val="bottom"/>
            <w:hideMark/>
          </w:tcPr>
          <w:p w:rsidR="00313646" w:rsidRPr="00073D70" w:rsidRDefault="00313646" w:rsidP="00342B17">
            <w:pPr>
              <w:rPr>
                <w:rFonts w:ascii="Verdana" w:eastAsia="Times New Roman" w:hAnsi="Verdana" w:cs="Arial"/>
                <w:b/>
                <w:bCs/>
                <w:color w:val="000000"/>
                <w:sz w:val="20"/>
                <w:szCs w:val="20"/>
                <w:lang w:eastAsia="en-GB"/>
              </w:rPr>
            </w:pPr>
            <w:r w:rsidRPr="00073D70">
              <w:rPr>
                <w:rFonts w:ascii="Verdana" w:eastAsia="Times New Roman" w:hAnsi="Verdana" w:cs="Arial"/>
                <w:b/>
                <w:bCs/>
                <w:color w:val="000000"/>
                <w:sz w:val="20"/>
                <w:szCs w:val="20"/>
                <w:lang w:eastAsia="en-GB"/>
              </w:rPr>
              <w:t>TOTAL Early Years Block</w:t>
            </w:r>
          </w:p>
        </w:tc>
        <w:tc>
          <w:tcPr>
            <w:tcW w:w="1701" w:type="dxa"/>
            <w:shd w:val="clear" w:color="auto" w:fill="auto"/>
            <w:noWrap/>
            <w:vAlign w:val="bottom"/>
            <w:hideMark/>
          </w:tcPr>
          <w:p w:rsidR="00313646" w:rsidRPr="00073D70" w:rsidRDefault="00313646" w:rsidP="00342B17">
            <w:pPr>
              <w:jc w:val="right"/>
              <w:rPr>
                <w:rFonts w:ascii="Verdana" w:eastAsia="Times New Roman" w:hAnsi="Verdana" w:cs="Arial"/>
                <w:b/>
                <w:bCs/>
                <w:color w:val="000000"/>
                <w:sz w:val="20"/>
                <w:szCs w:val="20"/>
                <w:lang w:eastAsia="en-GB"/>
              </w:rPr>
            </w:pPr>
            <w:r w:rsidRPr="00073D70">
              <w:rPr>
                <w:rFonts w:ascii="Verdana" w:eastAsia="Times New Roman" w:hAnsi="Verdana" w:cs="Arial"/>
                <w:b/>
                <w:bCs/>
                <w:color w:val="000000"/>
                <w:sz w:val="20"/>
                <w:szCs w:val="20"/>
                <w:lang w:eastAsia="en-GB"/>
              </w:rPr>
              <w:t xml:space="preserve">      12,325 </w:t>
            </w:r>
          </w:p>
        </w:tc>
        <w:tc>
          <w:tcPr>
            <w:tcW w:w="1622" w:type="dxa"/>
            <w:shd w:val="clear" w:color="auto" w:fill="auto"/>
            <w:noWrap/>
            <w:vAlign w:val="bottom"/>
            <w:hideMark/>
          </w:tcPr>
          <w:p w:rsidR="00313646" w:rsidRPr="00073D70" w:rsidRDefault="00313646" w:rsidP="00342B17">
            <w:pPr>
              <w:jc w:val="right"/>
              <w:rPr>
                <w:rFonts w:ascii="Verdana" w:eastAsia="Times New Roman" w:hAnsi="Verdana" w:cs="Arial"/>
                <w:b/>
                <w:color w:val="000000"/>
                <w:sz w:val="20"/>
                <w:szCs w:val="20"/>
                <w:lang w:eastAsia="en-GB"/>
              </w:rPr>
            </w:pPr>
            <w:r w:rsidRPr="00073D70">
              <w:rPr>
                <w:rFonts w:ascii="Verdana" w:eastAsia="Times New Roman" w:hAnsi="Verdana" w:cs="Arial"/>
                <w:b/>
                <w:color w:val="000000"/>
                <w:sz w:val="20"/>
                <w:szCs w:val="20"/>
                <w:lang w:eastAsia="en-GB"/>
              </w:rPr>
              <w:t>- 887</w:t>
            </w:r>
          </w:p>
        </w:tc>
        <w:tc>
          <w:tcPr>
            <w:tcW w:w="1760" w:type="dxa"/>
            <w:shd w:val="clear" w:color="auto" w:fill="auto"/>
            <w:noWrap/>
            <w:vAlign w:val="bottom"/>
            <w:hideMark/>
          </w:tcPr>
          <w:p w:rsidR="00313646" w:rsidRPr="00073D70" w:rsidRDefault="00313646" w:rsidP="00342B17">
            <w:pPr>
              <w:jc w:val="right"/>
              <w:rPr>
                <w:rFonts w:ascii="Verdana" w:eastAsia="Times New Roman" w:hAnsi="Verdana" w:cs="Arial"/>
                <w:b/>
                <w:bCs/>
                <w:color w:val="000000"/>
                <w:sz w:val="20"/>
                <w:szCs w:val="20"/>
                <w:lang w:eastAsia="en-GB"/>
              </w:rPr>
            </w:pPr>
            <w:r w:rsidRPr="00073D70">
              <w:rPr>
                <w:rFonts w:ascii="Verdana" w:eastAsia="Times New Roman" w:hAnsi="Verdana" w:cs="Arial"/>
                <w:b/>
                <w:bCs/>
                <w:color w:val="000000"/>
                <w:sz w:val="20"/>
                <w:szCs w:val="20"/>
                <w:lang w:eastAsia="en-GB"/>
              </w:rPr>
              <w:t>11,438</w:t>
            </w:r>
          </w:p>
        </w:tc>
      </w:tr>
      <w:tr w:rsidR="00313646" w:rsidRPr="001A34E5" w:rsidTr="00313646">
        <w:trPr>
          <w:trHeight w:val="300"/>
          <w:jc w:val="center"/>
        </w:trPr>
        <w:tc>
          <w:tcPr>
            <w:tcW w:w="3559" w:type="dxa"/>
            <w:shd w:val="clear" w:color="auto" w:fill="auto"/>
            <w:noWrap/>
            <w:vAlign w:val="bottom"/>
            <w:hideMark/>
          </w:tcPr>
          <w:p w:rsidR="00313646" w:rsidRPr="00073D70" w:rsidRDefault="00313646" w:rsidP="00342B17">
            <w:pPr>
              <w:rPr>
                <w:rFonts w:ascii="Verdana" w:eastAsia="Times New Roman" w:hAnsi="Verdana" w:cs="Arial"/>
                <w:color w:val="000000"/>
                <w:sz w:val="20"/>
                <w:szCs w:val="20"/>
                <w:lang w:eastAsia="en-GB"/>
              </w:rPr>
            </w:pPr>
          </w:p>
        </w:tc>
        <w:tc>
          <w:tcPr>
            <w:tcW w:w="1701"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p>
        </w:tc>
        <w:tc>
          <w:tcPr>
            <w:tcW w:w="1622"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p>
        </w:tc>
        <w:tc>
          <w:tcPr>
            <w:tcW w:w="1760"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p>
        </w:tc>
      </w:tr>
      <w:tr w:rsidR="00313646" w:rsidRPr="001A34E5" w:rsidTr="00313646">
        <w:trPr>
          <w:trHeight w:val="300"/>
          <w:jc w:val="center"/>
        </w:trPr>
        <w:tc>
          <w:tcPr>
            <w:tcW w:w="3559" w:type="dxa"/>
            <w:shd w:val="clear" w:color="auto" w:fill="auto"/>
            <w:noWrap/>
            <w:vAlign w:val="bottom"/>
            <w:hideMark/>
          </w:tcPr>
          <w:p w:rsidR="00313646" w:rsidRPr="00073D70" w:rsidRDefault="00313646" w:rsidP="00342B17">
            <w:pPr>
              <w:rPr>
                <w:rFonts w:ascii="Verdana" w:eastAsia="Times New Roman" w:hAnsi="Verdana" w:cs="Arial"/>
                <w:b/>
                <w:bCs/>
                <w:color w:val="000000"/>
                <w:sz w:val="20"/>
                <w:szCs w:val="20"/>
                <w:lang w:eastAsia="en-GB"/>
              </w:rPr>
            </w:pPr>
            <w:r w:rsidRPr="00073D70">
              <w:rPr>
                <w:rFonts w:ascii="Verdana" w:eastAsia="Times New Roman" w:hAnsi="Verdana" w:cs="Arial"/>
                <w:b/>
                <w:bCs/>
                <w:color w:val="000000"/>
                <w:sz w:val="20"/>
                <w:szCs w:val="20"/>
                <w:lang w:eastAsia="en-GB"/>
              </w:rPr>
              <w:t>Schools Block</w:t>
            </w:r>
          </w:p>
        </w:tc>
        <w:tc>
          <w:tcPr>
            <w:tcW w:w="1701"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 xml:space="preserve">    112,807 </w:t>
            </w:r>
          </w:p>
        </w:tc>
        <w:tc>
          <w:tcPr>
            <w:tcW w:w="1622"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w:t>
            </w:r>
          </w:p>
        </w:tc>
        <w:tc>
          <w:tcPr>
            <w:tcW w:w="1760"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 xml:space="preserve">    112,807 </w:t>
            </w:r>
          </w:p>
        </w:tc>
      </w:tr>
      <w:tr w:rsidR="00313646" w:rsidRPr="001A34E5" w:rsidTr="00313646">
        <w:trPr>
          <w:trHeight w:val="285"/>
          <w:jc w:val="center"/>
        </w:trPr>
        <w:tc>
          <w:tcPr>
            <w:tcW w:w="3559" w:type="dxa"/>
            <w:shd w:val="clear" w:color="auto" w:fill="auto"/>
            <w:noWrap/>
            <w:vAlign w:val="bottom"/>
            <w:hideMark/>
          </w:tcPr>
          <w:p w:rsidR="00313646" w:rsidRPr="00073D70" w:rsidRDefault="00313646" w:rsidP="00342B17">
            <w:pPr>
              <w:ind w:firstLineChars="100" w:firstLine="200"/>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 xml:space="preserve"> NRA Cash Adjustment</w:t>
            </w:r>
          </w:p>
        </w:tc>
        <w:tc>
          <w:tcPr>
            <w:tcW w:w="1701"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50</w:t>
            </w:r>
          </w:p>
        </w:tc>
        <w:tc>
          <w:tcPr>
            <w:tcW w:w="1622"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w:t>
            </w:r>
          </w:p>
        </w:tc>
        <w:tc>
          <w:tcPr>
            <w:tcW w:w="1760"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50</w:t>
            </w:r>
          </w:p>
        </w:tc>
      </w:tr>
      <w:tr w:rsidR="00313646" w:rsidRPr="001A34E5" w:rsidTr="00313646">
        <w:trPr>
          <w:trHeight w:val="285"/>
          <w:jc w:val="center"/>
        </w:trPr>
        <w:tc>
          <w:tcPr>
            <w:tcW w:w="3559" w:type="dxa"/>
            <w:shd w:val="clear" w:color="auto" w:fill="auto"/>
            <w:noWrap/>
            <w:vAlign w:val="bottom"/>
            <w:hideMark/>
          </w:tcPr>
          <w:p w:rsidR="00313646" w:rsidRPr="00073D70" w:rsidRDefault="00313646" w:rsidP="00342B17">
            <w:pPr>
              <w:ind w:firstLineChars="100" w:firstLine="200"/>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Academy Recoupment</w:t>
            </w:r>
          </w:p>
        </w:tc>
        <w:tc>
          <w:tcPr>
            <w:tcW w:w="1701"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 xml:space="preserve">- 63,229 </w:t>
            </w:r>
          </w:p>
        </w:tc>
        <w:tc>
          <w:tcPr>
            <w:tcW w:w="1622"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w:t>
            </w:r>
          </w:p>
        </w:tc>
        <w:tc>
          <w:tcPr>
            <w:tcW w:w="1760"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 xml:space="preserve">- 63,229 </w:t>
            </w:r>
          </w:p>
        </w:tc>
      </w:tr>
      <w:tr w:rsidR="00313646" w:rsidRPr="001A34E5" w:rsidTr="00313646">
        <w:trPr>
          <w:trHeight w:val="300"/>
          <w:jc w:val="center"/>
        </w:trPr>
        <w:tc>
          <w:tcPr>
            <w:tcW w:w="3559" w:type="dxa"/>
            <w:shd w:val="clear" w:color="auto" w:fill="auto"/>
            <w:noWrap/>
            <w:vAlign w:val="bottom"/>
            <w:hideMark/>
          </w:tcPr>
          <w:p w:rsidR="00313646" w:rsidRPr="00073D70" w:rsidRDefault="00313646" w:rsidP="00342B17">
            <w:pPr>
              <w:rPr>
                <w:rFonts w:ascii="Verdana" w:eastAsia="Times New Roman" w:hAnsi="Verdana" w:cs="Arial"/>
                <w:b/>
                <w:bCs/>
                <w:color w:val="000000"/>
                <w:sz w:val="20"/>
                <w:szCs w:val="20"/>
                <w:lang w:eastAsia="en-GB"/>
              </w:rPr>
            </w:pPr>
            <w:r w:rsidRPr="00073D70">
              <w:rPr>
                <w:rFonts w:ascii="Verdana" w:eastAsia="Times New Roman" w:hAnsi="Verdana" w:cs="Arial"/>
                <w:b/>
                <w:bCs/>
                <w:color w:val="000000"/>
                <w:sz w:val="20"/>
                <w:szCs w:val="20"/>
                <w:lang w:eastAsia="en-GB"/>
              </w:rPr>
              <w:t>TOTAL Schools Block</w:t>
            </w:r>
          </w:p>
        </w:tc>
        <w:tc>
          <w:tcPr>
            <w:tcW w:w="1701" w:type="dxa"/>
            <w:shd w:val="clear" w:color="auto" w:fill="auto"/>
            <w:noWrap/>
            <w:vAlign w:val="bottom"/>
            <w:hideMark/>
          </w:tcPr>
          <w:p w:rsidR="00313646" w:rsidRPr="00073D70" w:rsidRDefault="00313646" w:rsidP="00342B17">
            <w:pPr>
              <w:jc w:val="right"/>
              <w:rPr>
                <w:rFonts w:ascii="Verdana" w:eastAsia="Times New Roman" w:hAnsi="Verdana" w:cs="Arial"/>
                <w:b/>
                <w:bCs/>
                <w:color w:val="000000"/>
                <w:sz w:val="20"/>
                <w:szCs w:val="20"/>
                <w:lang w:eastAsia="en-GB"/>
              </w:rPr>
            </w:pPr>
            <w:r w:rsidRPr="00073D70">
              <w:rPr>
                <w:rFonts w:ascii="Verdana" w:eastAsia="Times New Roman" w:hAnsi="Verdana" w:cs="Arial"/>
                <w:b/>
                <w:bCs/>
                <w:color w:val="000000"/>
                <w:sz w:val="20"/>
                <w:szCs w:val="20"/>
                <w:lang w:eastAsia="en-GB"/>
              </w:rPr>
              <w:t xml:space="preserve">    49,628 </w:t>
            </w:r>
          </w:p>
        </w:tc>
        <w:tc>
          <w:tcPr>
            <w:tcW w:w="1622" w:type="dxa"/>
            <w:shd w:val="clear" w:color="auto" w:fill="auto"/>
            <w:noWrap/>
            <w:vAlign w:val="bottom"/>
            <w:hideMark/>
          </w:tcPr>
          <w:p w:rsidR="00313646" w:rsidRPr="00073D70" w:rsidRDefault="00313646" w:rsidP="00342B17">
            <w:pPr>
              <w:jc w:val="right"/>
              <w:rPr>
                <w:rFonts w:ascii="Verdana" w:eastAsia="Times New Roman" w:hAnsi="Verdana" w:cs="Arial"/>
                <w:b/>
                <w:color w:val="000000"/>
                <w:sz w:val="20"/>
                <w:szCs w:val="20"/>
                <w:lang w:eastAsia="en-GB"/>
              </w:rPr>
            </w:pPr>
            <w:r w:rsidRPr="00073D70">
              <w:rPr>
                <w:rFonts w:ascii="Verdana" w:eastAsia="Times New Roman" w:hAnsi="Verdana" w:cs="Arial"/>
                <w:b/>
                <w:color w:val="000000"/>
                <w:sz w:val="20"/>
                <w:szCs w:val="20"/>
                <w:lang w:eastAsia="en-GB"/>
              </w:rPr>
              <w:t>-</w:t>
            </w:r>
          </w:p>
        </w:tc>
        <w:tc>
          <w:tcPr>
            <w:tcW w:w="1760" w:type="dxa"/>
            <w:shd w:val="clear" w:color="auto" w:fill="auto"/>
            <w:noWrap/>
            <w:vAlign w:val="bottom"/>
            <w:hideMark/>
          </w:tcPr>
          <w:p w:rsidR="00313646" w:rsidRPr="00073D70" w:rsidRDefault="00313646" w:rsidP="00342B17">
            <w:pPr>
              <w:jc w:val="right"/>
              <w:rPr>
                <w:rFonts w:ascii="Verdana" w:eastAsia="Times New Roman" w:hAnsi="Verdana" w:cs="Arial"/>
                <w:b/>
                <w:bCs/>
                <w:color w:val="000000"/>
                <w:sz w:val="20"/>
                <w:szCs w:val="20"/>
                <w:lang w:eastAsia="en-GB"/>
              </w:rPr>
            </w:pPr>
            <w:r w:rsidRPr="00073D70">
              <w:rPr>
                <w:rFonts w:ascii="Verdana" w:eastAsia="Times New Roman" w:hAnsi="Verdana" w:cs="Arial"/>
                <w:b/>
                <w:bCs/>
                <w:color w:val="000000"/>
                <w:sz w:val="20"/>
                <w:szCs w:val="20"/>
                <w:lang w:eastAsia="en-GB"/>
              </w:rPr>
              <w:t xml:space="preserve">    49,628 </w:t>
            </w:r>
          </w:p>
        </w:tc>
      </w:tr>
      <w:tr w:rsidR="00313646" w:rsidRPr="001A34E5" w:rsidTr="00313646">
        <w:trPr>
          <w:trHeight w:val="300"/>
          <w:jc w:val="center"/>
        </w:trPr>
        <w:tc>
          <w:tcPr>
            <w:tcW w:w="3559" w:type="dxa"/>
            <w:shd w:val="clear" w:color="auto" w:fill="auto"/>
            <w:noWrap/>
            <w:vAlign w:val="bottom"/>
            <w:hideMark/>
          </w:tcPr>
          <w:p w:rsidR="00313646" w:rsidRPr="00073D70" w:rsidRDefault="00313646" w:rsidP="00342B17">
            <w:pPr>
              <w:rPr>
                <w:rFonts w:ascii="Verdana" w:eastAsia="Times New Roman" w:hAnsi="Verdana" w:cs="Arial"/>
                <w:color w:val="000000"/>
                <w:sz w:val="20"/>
                <w:szCs w:val="20"/>
                <w:lang w:eastAsia="en-GB"/>
              </w:rPr>
            </w:pPr>
          </w:p>
        </w:tc>
        <w:tc>
          <w:tcPr>
            <w:tcW w:w="1701"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p>
        </w:tc>
        <w:tc>
          <w:tcPr>
            <w:tcW w:w="1622"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highlight w:val="yellow"/>
                <w:lang w:eastAsia="en-GB"/>
              </w:rPr>
            </w:pPr>
          </w:p>
        </w:tc>
        <w:tc>
          <w:tcPr>
            <w:tcW w:w="1760"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p>
        </w:tc>
      </w:tr>
      <w:tr w:rsidR="00313646" w:rsidRPr="001A34E5" w:rsidTr="00313646">
        <w:trPr>
          <w:trHeight w:val="300"/>
          <w:jc w:val="center"/>
        </w:trPr>
        <w:tc>
          <w:tcPr>
            <w:tcW w:w="3559" w:type="dxa"/>
            <w:shd w:val="clear" w:color="auto" w:fill="auto"/>
            <w:noWrap/>
            <w:vAlign w:val="bottom"/>
            <w:hideMark/>
          </w:tcPr>
          <w:p w:rsidR="00313646" w:rsidRPr="00073D70" w:rsidRDefault="00313646" w:rsidP="00342B17">
            <w:pPr>
              <w:rPr>
                <w:rFonts w:ascii="Verdana" w:eastAsia="Times New Roman" w:hAnsi="Verdana" w:cs="Arial"/>
                <w:b/>
                <w:bCs/>
                <w:color w:val="000000"/>
                <w:sz w:val="20"/>
                <w:szCs w:val="20"/>
                <w:lang w:eastAsia="en-GB"/>
              </w:rPr>
            </w:pPr>
            <w:r w:rsidRPr="00073D70">
              <w:rPr>
                <w:rFonts w:ascii="Verdana" w:eastAsia="Times New Roman" w:hAnsi="Verdana" w:cs="Arial"/>
                <w:b/>
                <w:bCs/>
                <w:color w:val="000000"/>
                <w:sz w:val="20"/>
                <w:szCs w:val="20"/>
                <w:lang w:eastAsia="en-GB"/>
              </w:rPr>
              <w:t>High Needs Block</w:t>
            </w:r>
          </w:p>
        </w:tc>
        <w:tc>
          <w:tcPr>
            <w:tcW w:w="1701"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 xml:space="preserve">    24,230 </w:t>
            </w:r>
          </w:p>
        </w:tc>
        <w:tc>
          <w:tcPr>
            <w:tcW w:w="1622"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w:t>
            </w:r>
          </w:p>
        </w:tc>
        <w:tc>
          <w:tcPr>
            <w:tcW w:w="1760"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 xml:space="preserve">    24,230 </w:t>
            </w:r>
          </w:p>
        </w:tc>
      </w:tr>
      <w:tr w:rsidR="00313646" w:rsidRPr="001A34E5" w:rsidTr="00313646">
        <w:trPr>
          <w:trHeight w:val="300"/>
          <w:jc w:val="center"/>
        </w:trPr>
        <w:tc>
          <w:tcPr>
            <w:tcW w:w="3559" w:type="dxa"/>
            <w:shd w:val="clear" w:color="auto" w:fill="auto"/>
            <w:noWrap/>
            <w:vAlign w:val="bottom"/>
            <w:hideMark/>
          </w:tcPr>
          <w:p w:rsidR="00313646" w:rsidRPr="00073D70" w:rsidRDefault="00313646" w:rsidP="00342B17">
            <w:pPr>
              <w:ind w:firstLineChars="100" w:firstLine="200"/>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Deductions to High Needs Block</w:t>
            </w:r>
          </w:p>
        </w:tc>
        <w:tc>
          <w:tcPr>
            <w:tcW w:w="1701"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 xml:space="preserve">- 1,891 </w:t>
            </w:r>
          </w:p>
        </w:tc>
        <w:tc>
          <w:tcPr>
            <w:tcW w:w="1622"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w:t>
            </w:r>
          </w:p>
        </w:tc>
        <w:tc>
          <w:tcPr>
            <w:tcW w:w="1760"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 xml:space="preserve">- 1,891 </w:t>
            </w:r>
          </w:p>
        </w:tc>
      </w:tr>
      <w:tr w:rsidR="00313646" w:rsidRPr="001A34E5" w:rsidTr="00313646">
        <w:trPr>
          <w:trHeight w:val="300"/>
          <w:jc w:val="center"/>
        </w:trPr>
        <w:tc>
          <w:tcPr>
            <w:tcW w:w="3559" w:type="dxa"/>
            <w:shd w:val="clear" w:color="auto" w:fill="auto"/>
            <w:noWrap/>
            <w:vAlign w:val="bottom"/>
            <w:hideMark/>
          </w:tcPr>
          <w:p w:rsidR="00313646" w:rsidRPr="00073D70" w:rsidRDefault="00313646" w:rsidP="00342B17">
            <w:pPr>
              <w:rPr>
                <w:rFonts w:ascii="Verdana" w:eastAsia="Times New Roman" w:hAnsi="Verdana" w:cs="Arial"/>
                <w:b/>
                <w:bCs/>
                <w:color w:val="000000"/>
                <w:sz w:val="20"/>
                <w:szCs w:val="20"/>
                <w:lang w:eastAsia="en-GB"/>
              </w:rPr>
            </w:pPr>
            <w:r w:rsidRPr="00073D70">
              <w:rPr>
                <w:rFonts w:ascii="Verdana" w:eastAsia="Times New Roman" w:hAnsi="Verdana" w:cs="Arial"/>
                <w:b/>
                <w:bCs/>
                <w:color w:val="000000"/>
                <w:sz w:val="20"/>
                <w:szCs w:val="20"/>
                <w:lang w:eastAsia="en-GB"/>
              </w:rPr>
              <w:t>TOTAL High Needs Block</w:t>
            </w:r>
          </w:p>
        </w:tc>
        <w:tc>
          <w:tcPr>
            <w:tcW w:w="1701" w:type="dxa"/>
            <w:shd w:val="clear" w:color="auto" w:fill="auto"/>
            <w:noWrap/>
            <w:vAlign w:val="bottom"/>
            <w:hideMark/>
          </w:tcPr>
          <w:p w:rsidR="00313646" w:rsidRPr="00073D70" w:rsidRDefault="00313646" w:rsidP="00342B17">
            <w:pPr>
              <w:jc w:val="right"/>
              <w:rPr>
                <w:rFonts w:ascii="Verdana" w:eastAsia="Times New Roman" w:hAnsi="Verdana" w:cs="Arial"/>
                <w:b/>
                <w:bCs/>
                <w:color w:val="000000"/>
                <w:sz w:val="20"/>
                <w:szCs w:val="20"/>
                <w:lang w:eastAsia="en-GB"/>
              </w:rPr>
            </w:pPr>
            <w:r w:rsidRPr="00073D70">
              <w:rPr>
                <w:rFonts w:ascii="Verdana" w:eastAsia="Times New Roman" w:hAnsi="Verdana" w:cs="Arial"/>
                <w:b/>
                <w:bCs/>
                <w:color w:val="000000"/>
                <w:sz w:val="20"/>
                <w:szCs w:val="20"/>
                <w:lang w:eastAsia="en-GB"/>
              </w:rPr>
              <w:t xml:space="preserve">    22,339 </w:t>
            </w:r>
          </w:p>
        </w:tc>
        <w:tc>
          <w:tcPr>
            <w:tcW w:w="1622" w:type="dxa"/>
            <w:shd w:val="clear" w:color="auto" w:fill="auto"/>
            <w:noWrap/>
            <w:vAlign w:val="bottom"/>
            <w:hideMark/>
          </w:tcPr>
          <w:p w:rsidR="00313646" w:rsidRPr="00073D70" w:rsidRDefault="00313646" w:rsidP="00342B17">
            <w:pPr>
              <w:jc w:val="right"/>
              <w:rPr>
                <w:rFonts w:ascii="Verdana" w:eastAsia="Times New Roman" w:hAnsi="Verdana" w:cs="Arial"/>
                <w:b/>
                <w:color w:val="000000"/>
                <w:sz w:val="20"/>
                <w:szCs w:val="20"/>
                <w:lang w:eastAsia="en-GB"/>
              </w:rPr>
            </w:pPr>
            <w:r w:rsidRPr="00073D70">
              <w:rPr>
                <w:rFonts w:ascii="Verdana" w:eastAsia="Times New Roman" w:hAnsi="Verdana" w:cs="Arial"/>
                <w:b/>
                <w:color w:val="000000"/>
                <w:sz w:val="20"/>
                <w:szCs w:val="20"/>
                <w:lang w:eastAsia="en-GB"/>
              </w:rPr>
              <w:t>-</w:t>
            </w:r>
          </w:p>
        </w:tc>
        <w:tc>
          <w:tcPr>
            <w:tcW w:w="1760" w:type="dxa"/>
            <w:shd w:val="clear" w:color="auto" w:fill="auto"/>
            <w:noWrap/>
            <w:vAlign w:val="bottom"/>
            <w:hideMark/>
          </w:tcPr>
          <w:p w:rsidR="00313646" w:rsidRPr="00073D70" w:rsidRDefault="00313646" w:rsidP="00342B17">
            <w:pPr>
              <w:jc w:val="right"/>
              <w:rPr>
                <w:rFonts w:ascii="Verdana" w:eastAsia="Times New Roman" w:hAnsi="Verdana" w:cs="Arial"/>
                <w:b/>
                <w:bCs/>
                <w:color w:val="000000"/>
                <w:sz w:val="20"/>
                <w:szCs w:val="20"/>
                <w:lang w:eastAsia="en-GB"/>
              </w:rPr>
            </w:pPr>
            <w:r w:rsidRPr="00073D70">
              <w:rPr>
                <w:rFonts w:ascii="Verdana" w:eastAsia="Times New Roman" w:hAnsi="Verdana" w:cs="Arial"/>
                <w:b/>
                <w:bCs/>
                <w:color w:val="000000"/>
                <w:sz w:val="20"/>
                <w:szCs w:val="20"/>
                <w:lang w:eastAsia="en-GB"/>
              </w:rPr>
              <w:t xml:space="preserve">    22,339 </w:t>
            </w:r>
          </w:p>
        </w:tc>
      </w:tr>
      <w:tr w:rsidR="00313646" w:rsidRPr="001A34E5" w:rsidTr="00313646">
        <w:trPr>
          <w:trHeight w:val="300"/>
          <w:jc w:val="center"/>
        </w:trPr>
        <w:tc>
          <w:tcPr>
            <w:tcW w:w="3559" w:type="dxa"/>
            <w:shd w:val="clear" w:color="auto" w:fill="auto"/>
            <w:noWrap/>
            <w:vAlign w:val="bottom"/>
            <w:hideMark/>
          </w:tcPr>
          <w:p w:rsidR="00313646" w:rsidRPr="00073D70" w:rsidRDefault="00313646" w:rsidP="00342B17">
            <w:pPr>
              <w:rPr>
                <w:rFonts w:ascii="Verdana" w:eastAsia="Times New Roman" w:hAnsi="Verdana" w:cs="Arial"/>
                <w:color w:val="000000"/>
                <w:sz w:val="20"/>
                <w:szCs w:val="20"/>
                <w:lang w:eastAsia="en-GB"/>
              </w:rPr>
            </w:pPr>
          </w:p>
        </w:tc>
        <w:tc>
          <w:tcPr>
            <w:tcW w:w="1701"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p>
        </w:tc>
        <w:tc>
          <w:tcPr>
            <w:tcW w:w="1622"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highlight w:val="yellow"/>
                <w:lang w:eastAsia="en-GB"/>
              </w:rPr>
            </w:pPr>
          </w:p>
        </w:tc>
        <w:tc>
          <w:tcPr>
            <w:tcW w:w="1760"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p>
        </w:tc>
      </w:tr>
      <w:tr w:rsidR="00313646" w:rsidRPr="001A34E5" w:rsidTr="00313646">
        <w:trPr>
          <w:trHeight w:val="300"/>
          <w:jc w:val="center"/>
        </w:trPr>
        <w:tc>
          <w:tcPr>
            <w:tcW w:w="3559" w:type="dxa"/>
            <w:shd w:val="clear" w:color="auto" w:fill="auto"/>
            <w:noWrap/>
            <w:vAlign w:val="bottom"/>
            <w:hideMark/>
          </w:tcPr>
          <w:p w:rsidR="00313646" w:rsidRPr="00073D70" w:rsidRDefault="00313646" w:rsidP="00342B17">
            <w:pPr>
              <w:rPr>
                <w:rFonts w:ascii="Verdana" w:eastAsia="Times New Roman" w:hAnsi="Verdana" w:cs="Arial"/>
                <w:b/>
                <w:bCs/>
                <w:color w:val="000000"/>
                <w:sz w:val="20"/>
                <w:szCs w:val="20"/>
                <w:lang w:eastAsia="en-GB"/>
              </w:rPr>
            </w:pPr>
            <w:r w:rsidRPr="00073D70">
              <w:rPr>
                <w:rFonts w:ascii="Verdana" w:eastAsia="Times New Roman" w:hAnsi="Verdana" w:cs="Arial"/>
                <w:b/>
                <w:bCs/>
                <w:color w:val="000000"/>
                <w:sz w:val="20"/>
                <w:szCs w:val="20"/>
                <w:lang w:eastAsia="en-GB"/>
              </w:rPr>
              <w:t>Additions/Deductions</w:t>
            </w:r>
          </w:p>
        </w:tc>
        <w:tc>
          <w:tcPr>
            <w:tcW w:w="1701"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p>
        </w:tc>
        <w:tc>
          <w:tcPr>
            <w:tcW w:w="1622"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highlight w:val="yellow"/>
                <w:lang w:eastAsia="en-GB"/>
              </w:rPr>
            </w:pPr>
          </w:p>
        </w:tc>
        <w:tc>
          <w:tcPr>
            <w:tcW w:w="1760"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p>
        </w:tc>
      </w:tr>
      <w:tr w:rsidR="00313646" w:rsidRPr="001A34E5" w:rsidTr="00313646">
        <w:trPr>
          <w:trHeight w:val="285"/>
          <w:jc w:val="center"/>
        </w:trPr>
        <w:tc>
          <w:tcPr>
            <w:tcW w:w="3559" w:type="dxa"/>
            <w:shd w:val="clear" w:color="auto" w:fill="auto"/>
            <w:noWrap/>
            <w:vAlign w:val="bottom"/>
            <w:hideMark/>
          </w:tcPr>
          <w:p w:rsidR="00313646" w:rsidRPr="00073D70" w:rsidRDefault="00313646" w:rsidP="00342B17">
            <w:pPr>
              <w:ind w:firstLineChars="200" w:firstLine="400"/>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NQT Funding</w:t>
            </w:r>
          </w:p>
        </w:tc>
        <w:tc>
          <w:tcPr>
            <w:tcW w:w="1701"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 xml:space="preserve">           27 </w:t>
            </w:r>
          </w:p>
        </w:tc>
        <w:tc>
          <w:tcPr>
            <w:tcW w:w="1622"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w:t>
            </w:r>
          </w:p>
        </w:tc>
        <w:tc>
          <w:tcPr>
            <w:tcW w:w="1760"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 xml:space="preserve">           27 </w:t>
            </w:r>
          </w:p>
        </w:tc>
      </w:tr>
      <w:tr w:rsidR="00313646" w:rsidRPr="001A34E5" w:rsidTr="00313646">
        <w:trPr>
          <w:trHeight w:val="300"/>
          <w:jc w:val="center"/>
        </w:trPr>
        <w:tc>
          <w:tcPr>
            <w:tcW w:w="3559" w:type="dxa"/>
            <w:shd w:val="clear" w:color="auto" w:fill="auto"/>
            <w:noWrap/>
            <w:vAlign w:val="bottom"/>
            <w:hideMark/>
          </w:tcPr>
          <w:p w:rsidR="00313646" w:rsidRPr="00073D70" w:rsidRDefault="00313646" w:rsidP="00342B17">
            <w:pPr>
              <w:rPr>
                <w:rFonts w:ascii="Verdana" w:eastAsia="Times New Roman" w:hAnsi="Verdana" w:cs="Arial"/>
                <w:b/>
                <w:bCs/>
                <w:color w:val="000000"/>
                <w:sz w:val="20"/>
                <w:szCs w:val="20"/>
                <w:lang w:eastAsia="en-GB"/>
              </w:rPr>
            </w:pPr>
            <w:r w:rsidRPr="00073D70">
              <w:rPr>
                <w:rFonts w:ascii="Verdana" w:eastAsia="Times New Roman" w:hAnsi="Verdana" w:cs="Arial"/>
                <w:b/>
                <w:bCs/>
                <w:color w:val="000000"/>
                <w:sz w:val="20"/>
                <w:szCs w:val="20"/>
                <w:lang w:eastAsia="en-GB"/>
              </w:rPr>
              <w:t>TOTAL Additions/Deductions</w:t>
            </w:r>
          </w:p>
        </w:tc>
        <w:tc>
          <w:tcPr>
            <w:tcW w:w="1701" w:type="dxa"/>
            <w:shd w:val="clear" w:color="auto" w:fill="auto"/>
            <w:noWrap/>
            <w:vAlign w:val="bottom"/>
            <w:hideMark/>
          </w:tcPr>
          <w:p w:rsidR="00313646" w:rsidRPr="00073D70" w:rsidRDefault="00313646" w:rsidP="00342B17">
            <w:pPr>
              <w:jc w:val="right"/>
              <w:rPr>
                <w:rFonts w:ascii="Verdana" w:eastAsia="Times New Roman" w:hAnsi="Verdana" w:cs="Arial"/>
                <w:b/>
                <w:bCs/>
                <w:color w:val="000000"/>
                <w:sz w:val="20"/>
                <w:szCs w:val="20"/>
                <w:lang w:eastAsia="en-GB"/>
              </w:rPr>
            </w:pPr>
            <w:r w:rsidRPr="00073D70">
              <w:rPr>
                <w:rFonts w:ascii="Verdana" w:eastAsia="Times New Roman" w:hAnsi="Verdana" w:cs="Arial"/>
                <w:b/>
                <w:bCs/>
                <w:color w:val="000000"/>
                <w:sz w:val="20"/>
                <w:szCs w:val="20"/>
                <w:lang w:eastAsia="en-GB"/>
              </w:rPr>
              <w:t xml:space="preserve">           27 </w:t>
            </w:r>
          </w:p>
        </w:tc>
        <w:tc>
          <w:tcPr>
            <w:tcW w:w="1622" w:type="dxa"/>
            <w:shd w:val="clear" w:color="auto" w:fill="auto"/>
            <w:noWrap/>
            <w:vAlign w:val="bottom"/>
            <w:hideMark/>
          </w:tcPr>
          <w:p w:rsidR="00313646" w:rsidRPr="00073D70" w:rsidRDefault="00313646" w:rsidP="00342B17">
            <w:pPr>
              <w:jc w:val="right"/>
              <w:rPr>
                <w:rFonts w:ascii="Verdana" w:eastAsia="Times New Roman" w:hAnsi="Verdana" w:cs="Arial"/>
                <w:b/>
                <w:color w:val="000000"/>
                <w:sz w:val="20"/>
                <w:szCs w:val="20"/>
                <w:lang w:eastAsia="en-GB"/>
              </w:rPr>
            </w:pPr>
            <w:r w:rsidRPr="00073D70">
              <w:rPr>
                <w:rFonts w:ascii="Verdana" w:eastAsia="Times New Roman" w:hAnsi="Verdana" w:cs="Arial"/>
                <w:b/>
                <w:color w:val="000000"/>
                <w:sz w:val="20"/>
                <w:szCs w:val="20"/>
                <w:lang w:eastAsia="en-GB"/>
              </w:rPr>
              <w:t>-</w:t>
            </w:r>
          </w:p>
        </w:tc>
        <w:tc>
          <w:tcPr>
            <w:tcW w:w="1760" w:type="dxa"/>
            <w:shd w:val="clear" w:color="auto" w:fill="auto"/>
            <w:noWrap/>
            <w:vAlign w:val="bottom"/>
            <w:hideMark/>
          </w:tcPr>
          <w:p w:rsidR="00313646" w:rsidRPr="00073D70" w:rsidRDefault="00313646" w:rsidP="00342B17">
            <w:pPr>
              <w:jc w:val="right"/>
              <w:rPr>
                <w:rFonts w:ascii="Verdana" w:eastAsia="Times New Roman" w:hAnsi="Verdana" w:cs="Arial"/>
                <w:b/>
                <w:bCs/>
                <w:color w:val="000000"/>
                <w:sz w:val="20"/>
                <w:szCs w:val="20"/>
                <w:lang w:eastAsia="en-GB"/>
              </w:rPr>
            </w:pPr>
            <w:r w:rsidRPr="00073D70">
              <w:rPr>
                <w:rFonts w:ascii="Verdana" w:eastAsia="Times New Roman" w:hAnsi="Verdana" w:cs="Arial"/>
                <w:b/>
                <w:bCs/>
                <w:color w:val="000000"/>
                <w:sz w:val="20"/>
                <w:szCs w:val="20"/>
                <w:lang w:eastAsia="en-GB"/>
              </w:rPr>
              <w:t xml:space="preserve">           27 </w:t>
            </w:r>
          </w:p>
        </w:tc>
      </w:tr>
      <w:tr w:rsidR="00313646" w:rsidRPr="001A34E5" w:rsidTr="00313646">
        <w:trPr>
          <w:trHeight w:val="285"/>
          <w:jc w:val="center"/>
        </w:trPr>
        <w:tc>
          <w:tcPr>
            <w:tcW w:w="3559" w:type="dxa"/>
            <w:shd w:val="clear" w:color="auto" w:fill="auto"/>
            <w:noWrap/>
            <w:vAlign w:val="bottom"/>
            <w:hideMark/>
          </w:tcPr>
          <w:p w:rsidR="00313646" w:rsidRPr="00073D70" w:rsidRDefault="00313646" w:rsidP="00342B17">
            <w:pPr>
              <w:rPr>
                <w:rFonts w:ascii="Verdana" w:eastAsia="Times New Roman" w:hAnsi="Verdana" w:cs="Arial"/>
                <w:color w:val="000000"/>
                <w:sz w:val="20"/>
                <w:szCs w:val="20"/>
                <w:lang w:eastAsia="en-GB"/>
              </w:rPr>
            </w:pPr>
          </w:p>
        </w:tc>
        <w:tc>
          <w:tcPr>
            <w:tcW w:w="1701"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p>
        </w:tc>
        <w:tc>
          <w:tcPr>
            <w:tcW w:w="1622"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highlight w:val="yellow"/>
                <w:lang w:eastAsia="en-GB"/>
              </w:rPr>
            </w:pPr>
          </w:p>
        </w:tc>
        <w:tc>
          <w:tcPr>
            <w:tcW w:w="1760" w:type="dxa"/>
            <w:shd w:val="clear" w:color="auto" w:fill="auto"/>
            <w:noWrap/>
            <w:vAlign w:val="bottom"/>
            <w:hideMark/>
          </w:tcPr>
          <w:p w:rsidR="00313646" w:rsidRPr="00073D70" w:rsidRDefault="00313646" w:rsidP="00342B17">
            <w:pPr>
              <w:jc w:val="right"/>
              <w:rPr>
                <w:rFonts w:ascii="Verdana" w:eastAsia="Times New Roman" w:hAnsi="Verdana" w:cs="Arial"/>
                <w:color w:val="000000"/>
                <w:sz w:val="20"/>
                <w:szCs w:val="20"/>
                <w:lang w:eastAsia="en-GB"/>
              </w:rPr>
            </w:pPr>
          </w:p>
        </w:tc>
      </w:tr>
      <w:tr w:rsidR="00313646" w:rsidRPr="001A34E5" w:rsidTr="00313646">
        <w:trPr>
          <w:trHeight w:val="300"/>
          <w:jc w:val="center"/>
        </w:trPr>
        <w:tc>
          <w:tcPr>
            <w:tcW w:w="3559" w:type="dxa"/>
            <w:shd w:val="clear" w:color="auto" w:fill="auto"/>
            <w:noWrap/>
            <w:vAlign w:val="bottom"/>
            <w:hideMark/>
          </w:tcPr>
          <w:p w:rsidR="00313646" w:rsidRPr="00073D70" w:rsidRDefault="00313646" w:rsidP="00342B17">
            <w:pPr>
              <w:rPr>
                <w:rFonts w:ascii="Verdana" w:eastAsia="Times New Roman" w:hAnsi="Verdana" w:cs="Arial"/>
                <w:b/>
                <w:bCs/>
                <w:color w:val="000000"/>
                <w:sz w:val="20"/>
                <w:szCs w:val="20"/>
                <w:lang w:eastAsia="en-GB"/>
              </w:rPr>
            </w:pPr>
            <w:r w:rsidRPr="00073D70">
              <w:rPr>
                <w:rFonts w:ascii="Verdana" w:eastAsia="Times New Roman" w:hAnsi="Verdana" w:cs="Arial"/>
                <w:b/>
                <w:bCs/>
                <w:color w:val="000000"/>
                <w:sz w:val="20"/>
                <w:szCs w:val="20"/>
                <w:lang w:eastAsia="en-GB"/>
              </w:rPr>
              <w:t>TOTAL DSG Allocation 2015/2016</w:t>
            </w:r>
          </w:p>
        </w:tc>
        <w:tc>
          <w:tcPr>
            <w:tcW w:w="1701" w:type="dxa"/>
            <w:shd w:val="clear" w:color="auto" w:fill="auto"/>
            <w:noWrap/>
            <w:vAlign w:val="bottom"/>
            <w:hideMark/>
          </w:tcPr>
          <w:p w:rsidR="00313646" w:rsidRPr="00073D70" w:rsidRDefault="00313646" w:rsidP="00342B17">
            <w:pPr>
              <w:jc w:val="right"/>
              <w:rPr>
                <w:rFonts w:ascii="Verdana" w:eastAsia="Times New Roman" w:hAnsi="Verdana" w:cs="Arial"/>
                <w:b/>
                <w:bCs/>
                <w:color w:val="000000"/>
                <w:sz w:val="20"/>
                <w:szCs w:val="20"/>
                <w:lang w:eastAsia="en-GB"/>
              </w:rPr>
            </w:pPr>
            <w:r w:rsidRPr="00073D70">
              <w:rPr>
                <w:rFonts w:ascii="Verdana" w:eastAsia="Times New Roman" w:hAnsi="Verdana" w:cs="Arial"/>
                <w:b/>
                <w:bCs/>
                <w:color w:val="000000"/>
                <w:sz w:val="20"/>
                <w:szCs w:val="20"/>
                <w:lang w:eastAsia="en-GB"/>
              </w:rPr>
              <w:t xml:space="preserve">    84,319 </w:t>
            </w:r>
          </w:p>
        </w:tc>
        <w:tc>
          <w:tcPr>
            <w:tcW w:w="1622" w:type="dxa"/>
            <w:shd w:val="clear" w:color="auto" w:fill="auto"/>
            <w:noWrap/>
            <w:vAlign w:val="bottom"/>
            <w:hideMark/>
          </w:tcPr>
          <w:p w:rsidR="00313646" w:rsidRPr="00073D70" w:rsidRDefault="00313646" w:rsidP="00342B17">
            <w:pPr>
              <w:pStyle w:val="ListParagraph"/>
              <w:jc w:val="right"/>
              <w:rPr>
                <w:rFonts w:ascii="Verdana" w:eastAsia="Times New Roman" w:hAnsi="Verdana" w:cs="Arial"/>
                <w:b/>
                <w:color w:val="000000"/>
                <w:sz w:val="20"/>
                <w:szCs w:val="20"/>
                <w:lang w:eastAsia="en-GB"/>
              </w:rPr>
            </w:pPr>
            <w:r w:rsidRPr="00073D70">
              <w:rPr>
                <w:rFonts w:ascii="Verdana" w:eastAsia="Times New Roman" w:hAnsi="Verdana" w:cs="Arial"/>
                <w:b/>
                <w:color w:val="000000"/>
                <w:sz w:val="20"/>
                <w:szCs w:val="20"/>
                <w:lang w:eastAsia="en-GB"/>
              </w:rPr>
              <w:t>- 887</w:t>
            </w:r>
          </w:p>
        </w:tc>
        <w:tc>
          <w:tcPr>
            <w:tcW w:w="1760" w:type="dxa"/>
            <w:shd w:val="clear" w:color="auto" w:fill="auto"/>
            <w:noWrap/>
            <w:vAlign w:val="bottom"/>
            <w:hideMark/>
          </w:tcPr>
          <w:p w:rsidR="00313646" w:rsidRPr="00073D70" w:rsidRDefault="00313646" w:rsidP="00342B17">
            <w:pPr>
              <w:jc w:val="right"/>
              <w:rPr>
                <w:rFonts w:ascii="Verdana" w:eastAsia="Times New Roman" w:hAnsi="Verdana" w:cs="Arial"/>
                <w:b/>
                <w:bCs/>
                <w:color w:val="000000"/>
                <w:sz w:val="20"/>
                <w:szCs w:val="20"/>
                <w:lang w:eastAsia="en-GB"/>
              </w:rPr>
            </w:pPr>
            <w:r w:rsidRPr="00073D70">
              <w:rPr>
                <w:rFonts w:ascii="Verdana" w:eastAsia="Times New Roman" w:hAnsi="Verdana" w:cs="Arial"/>
                <w:b/>
                <w:bCs/>
                <w:color w:val="000000"/>
                <w:sz w:val="20"/>
                <w:szCs w:val="20"/>
                <w:lang w:eastAsia="en-GB"/>
              </w:rPr>
              <w:t xml:space="preserve">    83,432 </w:t>
            </w:r>
          </w:p>
        </w:tc>
      </w:tr>
      <w:tr w:rsidR="00313646" w:rsidRPr="001A34E5" w:rsidTr="00313646">
        <w:trPr>
          <w:trHeight w:val="300"/>
          <w:jc w:val="center"/>
        </w:trPr>
        <w:tc>
          <w:tcPr>
            <w:tcW w:w="3559" w:type="dxa"/>
            <w:shd w:val="clear" w:color="auto" w:fill="auto"/>
            <w:noWrap/>
            <w:vAlign w:val="bottom"/>
            <w:hideMark/>
          </w:tcPr>
          <w:p w:rsidR="00313646" w:rsidRPr="00073D70" w:rsidRDefault="00313646" w:rsidP="00342B17">
            <w:pPr>
              <w:rPr>
                <w:rFonts w:ascii="Verdana" w:eastAsia="Times New Roman" w:hAnsi="Verdana" w:cs="Arial"/>
                <w:b/>
                <w:bCs/>
                <w:color w:val="000000"/>
                <w:sz w:val="20"/>
                <w:szCs w:val="20"/>
                <w:lang w:eastAsia="en-GB"/>
              </w:rPr>
            </w:pPr>
          </w:p>
        </w:tc>
        <w:tc>
          <w:tcPr>
            <w:tcW w:w="1701" w:type="dxa"/>
            <w:shd w:val="clear" w:color="auto" w:fill="auto"/>
            <w:noWrap/>
            <w:vAlign w:val="bottom"/>
            <w:hideMark/>
          </w:tcPr>
          <w:p w:rsidR="00313646" w:rsidRPr="00073D70" w:rsidRDefault="00313646" w:rsidP="00342B17">
            <w:pPr>
              <w:jc w:val="right"/>
              <w:rPr>
                <w:rFonts w:ascii="Verdana" w:eastAsia="Times New Roman" w:hAnsi="Verdana" w:cs="Arial"/>
                <w:b/>
                <w:bCs/>
                <w:color w:val="000000"/>
                <w:sz w:val="20"/>
                <w:szCs w:val="20"/>
                <w:lang w:eastAsia="en-GB"/>
              </w:rPr>
            </w:pPr>
          </w:p>
        </w:tc>
        <w:tc>
          <w:tcPr>
            <w:tcW w:w="1622" w:type="dxa"/>
            <w:shd w:val="clear" w:color="auto" w:fill="auto"/>
            <w:noWrap/>
            <w:vAlign w:val="bottom"/>
            <w:hideMark/>
          </w:tcPr>
          <w:p w:rsidR="00313646" w:rsidRPr="00073D70" w:rsidRDefault="00313646" w:rsidP="00342B17">
            <w:pPr>
              <w:pStyle w:val="ListParagraph"/>
              <w:jc w:val="right"/>
              <w:rPr>
                <w:rFonts w:ascii="Verdana" w:eastAsia="Times New Roman" w:hAnsi="Verdana" w:cs="Arial"/>
                <w:b/>
                <w:color w:val="000000"/>
                <w:sz w:val="20"/>
                <w:szCs w:val="20"/>
                <w:lang w:eastAsia="en-GB"/>
              </w:rPr>
            </w:pPr>
          </w:p>
        </w:tc>
        <w:tc>
          <w:tcPr>
            <w:tcW w:w="1760" w:type="dxa"/>
            <w:shd w:val="clear" w:color="auto" w:fill="auto"/>
            <w:noWrap/>
            <w:vAlign w:val="bottom"/>
            <w:hideMark/>
          </w:tcPr>
          <w:p w:rsidR="00313646" w:rsidRPr="00073D70" w:rsidRDefault="00313646" w:rsidP="00342B17">
            <w:pPr>
              <w:jc w:val="right"/>
              <w:rPr>
                <w:rFonts w:ascii="Verdana" w:eastAsia="Times New Roman" w:hAnsi="Verdana" w:cs="Arial"/>
                <w:b/>
                <w:bCs/>
                <w:color w:val="000000"/>
                <w:sz w:val="20"/>
                <w:szCs w:val="20"/>
                <w:lang w:eastAsia="en-GB"/>
              </w:rPr>
            </w:pPr>
          </w:p>
        </w:tc>
      </w:tr>
      <w:tr w:rsidR="00313646" w:rsidRPr="001A34E5" w:rsidTr="00313646">
        <w:trPr>
          <w:trHeight w:val="300"/>
          <w:jc w:val="center"/>
        </w:trPr>
        <w:tc>
          <w:tcPr>
            <w:tcW w:w="3559" w:type="dxa"/>
            <w:shd w:val="clear" w:color="auto" w:fill="auto"/>
            <w:noWrap/>
            <w:vAlign w:val="bottom"/>
            <w:hideMark/>
          </w:tcPr>
          <w:p w:rsidR="00313646" w:rsidRPr="00073D70" w:rsidRDefault="00313646" w:rsidP="00342B17">
            <w:pPr>
              <w:rPr>
                <w:rFonts w:ascii="Verdana" w:eastAsia="Times New Roman" w:hAnsi="Verdana" w:cs="Arial"/>
                <w:b/>
                <w:bCs/>
                <w:color w:val="000000"/>
                <w:sz w:val="20"/>
                <w:szCs w:val="20"/>
                <w:lang w:eastAsia="en-GB"/>
              </w:rPr>
            </w:pPr>
            <w:r w:rsidRPr="00073D70">
              <w:rPr>
                <w:rFonts w:ascii="Verdana" w:eastAsia="Times New Roman" w:hAnsi="Verdana" w:cs="Arial"/>
                <w:b/>
                <w:bCs/>
                <w:color w:val="000000"/>
                <w:sz w:val="20"/>
                <w:szCs w:val="20"/>
                <w:lang w:eastAsia="en-GB"/>
              </w:rPr>
              <w:t>Adjustments</w:t>
            </w:r>
          </w:p>
        </w:tc>
        <w:tc>
          <w:tcPr>
            <w:tcW w:w="1701" w:type="dxa"/>
            <w:shd w:val="clear" w:color="auto" w:fill="auto"/>
            <w:noWrap/>
            <w:vAlign w:val="bottom"/>
            <w:hideMark/>
          </w:tcPr>
          <w:p w:rsidR="00313646" w:rsidRPr="00073D70" w:rsidRDefault="00313646" w:rsidP="00342B17">
            <w:pPr>
              <w:jc w:val="right"/>
              <w:rPr>
                <w:rFonts w:ascii="Verdana" w:eastAsia="Times New Roman" w:hAnsi="Verdana" w:cs="Arial"/>
                <w:b/>
                <w:bCs/>
                <w:color w:val="000000"/>
                <w:sz w:val="20"/>
                <w:szCs w:val="20"/>
                <w:lang w:eastAsia="en-GB"/>
              </w:rPr>
            </w:pPr>
          </w:p>
        </w:tc>
        <w:tc>
          <w:tcPr>
            <w:tcW w:w="1622" w:type="dxa"/>
            <w:shd w:val="clear" w:color="auto" w:fill="auto"/>
            <w:noWrap/>
            <w:vAlign w:val="bottom"/>
            <w:hideMark/>
          </w:tcPr>
          <w:p w:rsidR="00313646" w:rsidRPr="00073D70" w:rsidRDefault="00313646" w:rsidP="00342B17">
            <w:pPr>
              <w:pStyle w:val="ListParagraph"/>
              <w:jc w:val="right"/>
              <w:rPr>
                <w:rFonts w:ascii="Verdana" w:eastAsia="Times New Roman" w:hAnsi="Verdana" w:cs="Arial"/>
                <w:b/>
                <w:color w:val="000000"/>
                <w:sz w:val="20"/>
                <w:szCs w:val="20"/>
                <w:lang w:eastAsia="en-GB"/>
              </w:rPr>
            </w:pPr>
          </w:p>
        </w:tc>
        <w:tc>
          <w:tcPr>
            <w:tcW w:w="1760" w:type="dxa"/>
            <w:shd w:val="clear" w:color="auto" w:fill="auto"/>
            <w:noWrap/>
            <w:vAlign w:val="bottom"/>
            <w:hideMark/>
          </w:tcPr>
          <w:p w:rsidR="00313646" w:rsidRPr="00073D70" w:rsidRDefault="00313646" w:rsidP="00342B17">
            <w:pPr>
              <w:jc w:val="right"/>
              <w:rPr>
                <w:rFonts w:ascii="Verdana" w:eastAsia="Times New Roman" w:hAnsi="Verdana" w:cs="Arial"/>
                <w:b/>
                <w:bCs/>
                <w:color w:val="000000"/>
                <w:sz w:val="20"/>
                <w:szCs w:val="20"/>
                <w:lang w:eastAsia="en-GB"/>
              </w:rPr>
            </w:pPr>
          </w:p>
        </w:tc>
      </w:tr>
      <w:tr w:rsidR="00313646" w:rsidRPr="001A34E5" w:rsidTr="00313646">
        <w:trPr>
          <w:trHeight w:val="300"/>
          <w:jc w:val="center"/>
        </w:trPr>
        <w:tc>
          <w:tcPr>
            <w:tcW w:w="3559" w:type="dxa"/>
            <w:shd w:val="clear" w:color="auto" w:fill="auto"/>
            <w:noWrap/>
            <w:vAlign w:val="bottom"/>
            <w:hideMark/>
          </w:tcPr>
          <w:p w:rsidR="00313646" w:rsidRPr="00073D70" w:rsidRDefault="00313646" w:rsidP="00342B17">
            <w:pPr>
              <w:ind w:firstLineChars="95" w:firstLine="190"/>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Prior Year Early Years</w:t>
            </w:r>
          </w:p>
        </w:tc>
        <w:tc>
          <w:tcPr>
            <w:tcW w:w="1701" w:type="dxa"/>
            <w:shd w:val="clear" w:color="auto" w:fill="auto"/>
            <w:noWrap/>
            <w:vAlign w:val="bottom"/>
            <w:hideMark/>
          </w:tcPr>
          <w:p w:rsidR="00313646" w:rsidRPr="00073D70" w:rsidRDefault="00313646" w:rsidP="00342B17">
            <w:pPr>
              <w:ind w:firstLineChars="95" w:firstLine="190"/>
              <w:jc w:val="right"/>
              <w:rPr>
                <w:rFonts w:ascii="Verdana" w:eastAsia="Times New Roman" w:hAnsi="Verdana" w:cs="Arial"/>
                <w:color w:val="000000"/>
                <w:sz w:val="20"/>
                <w:szCs w:val="20"/>
                <w:lang w:eastAsia="en-GB"/>
              </w:rPr>
            </w:pPr>
          </w:p>
        </w:tc>
        <w:tc>
          <w:tcPr>
            <w:tcW w:w="1622" w:type="dxa"/>
            <w:shd w:val="clear" w:color="auto" w:fill="auto"/>
            <w:noWrap/>
            <w:vAlign w:val="bottom"/>
            <w:hideMark/>
          </w:tcPr>
          <w:p w:rsidR="00313646" w:rsidRPr="00073D70" w:rsidRDefault="00313646" w:rsidP="00342B17">
            <w:pPr>
              <w:pStyle w:val="ListParagraph"/>
              <w:jc w:val="right"/>
              <w:rPr>
                <w:rFonts w:ascii="Verdana" w:eastAsia="Times New Roman" w:hAnsi="Verdana" w:cs="Arial"/>
                <w:b/>
                <w:color w:val="000000"/>
                <w:sz w:val="20"/>
                <w:szCs w:val="20"/>
                <w:lang w:eastAsia="en-GB"/>
              </w:rPr>
            </w:pPr>
          </w:p>
        </w:tc>
        <w:tc>
          <w:tcPr>
            <w:tcW w:w="1760" w:type="dxa"/>
            <w:shd w:val="clear" w:color="auto" w:fill="auto"/>
            <w:noWrap/>
            <w:vAlign w:val="bottom"/>
            <w:hideMark/>
          </w:tcPr>
          <w:p w:rsidR="00313646" w:rsidRPr="00073D70" w:rsidRDefault="00313646" w:rsidP="00342B17">
            <w:pPr>
              <w:jc w:val="right"/>
              <w:rPr>
                <w:rFonts w:ascii="Verdana" w:eastAsia="Times New Roman" w:hAnsi="Verdana" w:cs="Arial"/>
                <w:bCs/>
                <w:color w:val="000000"/>
                <w:sz w:val="20"/>
                <w:szCs w:val="20"/>
                <w:lang w:eastAsia="en-GB"/>
              </w:rPr>
            </w:pPr>
            <w:r w:rsidRPr="00073D70">
              <w:rPr>
                <w:rFonts w:ascii="Verdana" w:eastAsia="Times New Roman" w:hAnsi="Verdana" w:cs="Arial"/>
                <w:bCs/>
                <w:color w:val="000000"/>
                <w:sz w:val="20"/>
                <w:szCs w:val="20"/>
                <w:lang w:eastAsia="en-GB"/>
              </w:rPr>
              <w:t>- 400</w:t>
            </w:r>
          </w:p>
        </w:tc>
      </w:tr>
      <w:tr w:rsidR="00313646" w:rsidRPr="001A34E5" w:rsidTr="00313646">
        <w:trPr>
          <w:trHeight w:val="300"/>
          <w:jc w:val="center"/>
        </w:trPr>
        <w:tc>
          <w:tcPr>
            <w:tcW w:w="3559" w:type="dxa"/>
            <w:shd w:val="clear" w:color="auto" w:fill="auto"/>
            <w:noWrap/>
            <w:vAlign w:val="bottom"/>
            <w:hideMark/>
          </w:tcPr>
          <w:p w:rsidR="00313646" w:rsidRPr="00073D70" w:rsidRDefault="00313646" w:rsidP="00342B17">
            <w:pPr>
              <w:ind w:firstLineChars="95" w:firstLine="190"/>
              <w:rPr>
                <w:rFonts w:ascii="Verdana" w:eastAsia="Times New Roman" w:hAnsi="Verdana" w:cs="Arial"/>
                <w:color w:val="000000"/>
                <w:sz w:val="20"/>
                <w:szCs w:val="20"/>
                <w:lang w:eastAsia="en-GB"/>
              </w:rPr>
            </w:pPr>
            <w:r w:rsidRPr="00073D70">
              <w:rPr>
                <w:rFonts w:ascii="Verdana" w:eastAsia="Times New Roman" w:hAnsi="Verdana" w:cs="Arial"/>
                <w:color w:val="000000"/>
                <w:sz w:val="20"/>
                <w:szCs w:val="20"/>
                <w:lang w:eastAsia="en-GB"/>
              </w:rPr>
              <w:t>Copyright Licensing</w:t>
            </w:r>
          </w:p>
        </w:tc>
        <w:tc>
          <w:tcPr>
            <w:tcW w:w="1701" w:type="dxa"/>
            <w:shd w:val="clear" w:color="auto" w:fill="auto"/>
            <w:noWrap/>
            <w:vAlign w:val="bottom"/>
            <w:hideMark/>
          </w:tcPr>
          <w:p w:rsidR="00313646" w:rsidRPr="00073D70" w:rsidRDefault="00313646" w:rsidP="00342B17">
            <w:pPr>
              <w:ind w:firstLineChars="95" w:firstLine="190"/>
              <w:jc w:val="right"/>
              <w:rPr>
                <w:rFonts w:ascii="Verdana" w:eastAsia="Times New Roman" w:hAnsi="Verdana" w:cs="Arial"/>
                <w:color w:val="000000"/>
                <w:sz w:val="20"/>
                <w:szCs w:val="20"/>
                <w:lang w:eastAsia="en-GB"/>
              </w:rPr>
            </w:pPr>
          </w:p>
        </w:tc>
        <w:tc>
          <w:tcPr>
            <w:tcW w:w="1622" w:type="dxa"/>
            <w:shd w:val="clear" w:color="auto" w:fill="auto"/>
            <w:noWrap/>
            <w:vAlign w:val="bottom"/>
            <w:hideMark/>
          </w:tcPr>
          <w:p w:rsidR="00313646" w:rsidRPr="00073D70" w:rsidRDefault="00313646" w:rsidP="00342B17">
            <w:pPr>
              <w:pStyle w:val="ListParagraph"/>
              <w:jc w:val="right"/>
              <w:rPr>
                <w:rFonts w:ascii="Verdana" w:eastAsia="Times New Roman" w:hAnsi="Verdana" w:cs="Arial"/>
                <w:b/>
                <w:color w:val="000000"/>
                <w:sz w:val="20"/>
                <w:szCs w:val="20"/>
                <w:lang w:eastAsia="en-GB"/>
              </w:rPr>
            </w:pPr>
          </w:p>
        </w:tc>
        <w:tc>
          <w:tcPr>
            <w:tcW w:w="1760" w:type="dxa"/>
            <w:shd w:val="clear" w:color="auto" w:fill="auto"/>
            <w:noWrap/>
            <w:vAlign w:val="bottom"/>
            <w:hideMark/>
          </w:tcPr>
          <w:p w:rsidR="00313646" w:rsidRPr="00073D70" w:rsidRDefault="00313646" w:rsidP="00342B17">
            <w:pPr>
              <w:jc w:val="right"/>
              <w:rPr>
                <w:rFonts w:ascii="Verdana" w:eastAsia="Times New Roman" w:hAnsi="Verdana" w:cs="Arial"/>
                <w:bCs/>
                <w:color w:val="000000"/>
                <w:sz w:val="20"/>
                <w:szCs w:val="20"/>
                <w:lang w:eastAsia="en-GB"/>
              </w:rPr>
            </w:pPr>
            <w:r w:rsidRPr="00073D70">
              <w:rPr>
                <w:rFonts w:ascii="Verdana" w:eastAsia="Times New Roman" w:hAnsi="Verdana" w:cs="Arial"/>
                <w:bCs/>
                <w:color w:val="000000"/>
                <w:sz w:val="20"/>
                <w:szCs w:val="20"/>
                <w:lang w:eastAsia="en-GB"/>
              </w:rPr>
              <w:t>- 103</w:t>
            </w:r>
          </w:p>
        </w:tc>
      </w:tr>
      <w:tr w:rsidR="00313646" w:rsidRPr="001A34E5" w:rsidTr="00313646">
        <w:trPr>
          <w:trHeight w:val="300"/>
          <w:jc w:val="center"/>
        </w:trPr>
        <w:tc>
          <w:tcPr>
            <w:tcW w:w="3559" w:type="dxa"/>
            <w:shd w:val="clear" w:color="auto" w:fill="auto"/>
            <w:noWrap/>
            <w:vAlign w:val="bottom"/>
            <w:hideMark/>
          </w:tcPr>
          <w:p w:rsidR="00313646" w:rsidRPr="00073D70" w:rsidRDefault="00313646" w:rsidP="00342B17">
            <w:pPr>
              <w:rPr>
                <w:rFonts w:ascii="Verdana" w:eastAsia="Times New Roman" w:hAnsi="Verdana" w:cs="Arial"/>
                <w:b/>
                <w:bCs/>
                <w:color w:val="000000"/>
                <w:sz w:val="20"/>
                <w:szCs w:val="20"/>
                <w:lang w:eastAsia="en-GB"/>
              </w:rPr>
            </w:pPr>
            <w:r w:rsidRPr="00073D70">
              <w:rPr>
                <w:rFonts w:ascii="Verdana" w:eastAsia="Times New Roman" w:hAnsi="Verdana" w:cs="Arial"/>
                <w:b/>
                <w:bCs/>
                <w:color w:val="000000"/>
                <w:sz w:val="20"/>
                <w:szCs w:val="20"/>
                <w:lang w:eastAsia="en-GB"/>
              </w:rPr>
              <w:t>TOTAL Available Funds</w:t>
            </w:r>
          </w:p>
        </w:tc>
        <w:tc>
          <w:tcPr>
            <w:tcW w:w="1701" w:type="dxa"/>
            <w:shd w:val="clear" w:color="auto" w:fill="auto"/>
            <w:noWrap/>
            <w:vAlign w:val="bottom"/>
            <w:hideMark/>
          </w:tcPr>
          <w:p w:rsidR="00313646" w:rsidRPr="00073D70" w:rsidRDefault="00313646" w:rsidP="00342B17">
            <w:pPr>
              <w:jc w:val="right"/>
              <w:rPr>
                <w:rFonts w:ascii="Verdana" w:eastAsia="Times New Roman" w:hAnsi="Verdana" w:cs="Arial"/>
                <w:b/>
                <w:bCs/>
                <w:color w:val="000000"/>
                <w:sz w:val="20"/>
                <w:szCs w:val="20"/>
                <w:lang w:eastAsia="en-GB"/>
              </w:rPr>
            </w:pPr>
          </w:p>
        </w:tc>
        <w:tc>
          <w:tcPr>
            <w:tcW w:w="1622" w:type="dxa"/>
            <w:shd w:val="clear" w:color="auto" w:fill="auto"/>
            <w:noWrap/>
            <w:vAlign w:val="bottom"/>
            <w:hideMark/>
          </w:tcPr>
          <w:p w:rsidR="00313646" w:rsidRPr="00073D70" w:rsidRDefault="00313646" w:rsidP="00342B17">
            <w:pPr>
              <w:pStyle w:val="ListParagraph"/>
              <w:jc w:val="right"/>
              <w:rPr>
                <w:rFonts w:ascii="Verdana" w:eastAsia="Times New Roman" w:hAnsi="Verdana" w:cs="Arial"/>
                <w:b/>
                <w:color w:val="000000"/>
                <w:sz w:val="20"/>
                <w:szCs w:val="20"/>
                <w:lang w:eastAsia="en-GB"/>
              </w:rPr>
            </w:pPr>
          </w:p>
        </w:tc>
        <w:tc>
          <w:tcPr>
            <w:tcW w:w="1760" w:type="dxa"/>
            <w:shd w:val="clear" w:color="auto" w:fill="auto"/>
            <w:noWrap/>
            <w:vAlign w:val="bottom"/>
            <w:hideMark/>
          </w:tcPr>
          <w:p w:rsidR="00313646" w:rsidRPr="00073D70" w:rsidRDefault="00313646" w:rsidP="00342B17">
            <w:pPr>
              <w:jc w:val="right"/>
              <w:rPr>
                <w:rFonts w:ascii="Verdana" w:eastAsia="Times New Roman" w:hAnsi="Verdana" w:cs="Arial"/>
                <w:b/>
                <w:bCs/>
                <w:color w:val="000000"/>
                <w:sz w:val="20"/>
                <w:szCs w:val="20"/>
                <w:lang w:eastAsia="en-GB"/>
              </w:rPr>
            </w:pPr>
            <w:r w:rsidRPr="00073D70">
              <w:rPr>
                <w:rFonts w:ascii="Verdana" w:eastAsia="Times New Roman" w:hAnsi="Verdana" w:cs="Arial"/>
                <w:b/>
                <w:bCs/>
                <w:color w:val="000000"/>
                <w:sz w:val="20"/>
                <w:szCs w:val="20"/>
                <w:lang w:eastAsia="en-GB"/>
              </w:rPr>
              <w:t>82,929</w:t>
            </w:r>
          </w:p>
        </w:tc>
      </w:tr>
      <w:tr w:rsidR="00313646" w:rsidRPr="001A34E5" w:rsidTr="00313646">
        <w:trPr>
          <w:trHeight w:val="300"/>
          <w:jc w:val="center"/>
        </w:trPr>
        <w:tc>
          <w:tcPr>
            <w:tcW w:w="3559" w:type="dxa"/>
            <w:shd w:val="clear" w:color="auto" w:fill="auto"/>
            <w:noWrap/>
            <w:vAlign w:val="bottom"/>
            <w:hideMark/>
          </w:tcPr>
          <w:p w:rsidR="00313646" w:rsidRPr="00073D70" w:rsidRDefault="00313646" w:rsidP="00342B17">
            <w:pPr>
              <w:rPr>
                <w:rFonts w:ascii="Verdana" w:eastAsia="Times New Roman" w:hAnsi="Verdana" w:cs="Arial"/>
                <w:b/>
                <w:bCs/>
                <w:color w:val="000000"/>
                <w:sz w:val="20"/>
                <w:szCs w:val="20"/>
                <w:lang w:eastAsia="en-GB"/>
              </w:rPr>
            </w:pPr>
          </w:p>
        </w:tc>
        <w:tc>
          <w:tcPr>
            <w:tcW w:w="1701" w:type="dxa"/>
            <w:shd w:val="clear" w:color="auto" w:fill="auto"/>
            <w:noWrap/>
            <w:vAlign w:val="bottom"/>
            <w:hideMark/>
          </w:tcPr>
          <w:p w:rsidR="00313646" w:rsidRPr="00073D70" w:rsidRDefault="00313646" w:rsidP="00342B17">
            <w:pPr>
              <w:jc w:val="right"/>
              <w:rPr>
                <w:rFonts w:ascii="Verdana" w:eastAsia="Times New Roman" w:hAnsi="Verdana" w:cs="Arial"/>
                <w:b/>
                <w:bCs/>
                <w:color w:val="000000"/>
                <w:sz w:val="20"/>
                <w:szCs w:val="20"/>
                <w:lang w:eastAsia="en-GB"/>
              </w:rPr>
            </w:pPr>
          </w:p>
        </w:tc>
        <w:tc>
          <w:tcPr>
            <w:tcW w:w="1622" w:type="dxa"/>
            <w:shd w:val="clear" w:color="auto" w:fill="auto"/>
            <w:noWrap/>
            <w:vAlign w:val="bottom"/>
            <w:hideMark/>
          </w:tcPr>
          <w:p w:rsidR="00313646" w:rsidRPr="00073D70" w:rsidRDefault="00313646" w:rsidP="00342B17">
            <w:pPr>
              <w:pStyle w:val="ListParagraph"/>
              <w:jc w:val="right"/>
              <w:rPr>
                <w:rFonts w:ascii="Verdana" w:eastAsia="Times New Roman" w:hAnsi="Verdana" w:cs="Arial"/>
                <w:b/>
                <w:color w:val="000000"/>
                <w:sz w:val="20"/>
                <w:szCs w:val="20"/>
                <w:lang w:eastAsia="en-GB"/>
              </w:rPr>
            </w:pPr>
          </w:p>
        </w:tc>
        <w:tc>
          <w:tcPr>
            <w:tcW w:w="1760" w:type="dxa"/>
            <w:shd w:val="clear" w:color="auto" w:fill="auto"/>
            <w:noWrap/>
            <w:vAlign w:val="bottom"/>
            <w:hideMark/>
          </w:tcPr>
          <w:p w:rsidR="00313646" w:rsidRPr="00073D70" w:rsidRDefault="00313646" w:rsidP="00342B17">
            <w:pPr>
              <w:jc w:val="right"/>
              <w:rPr>
                <w:rFonts w:ascii="Verdana" w:eastAsia="Times New Roman" w:hAnsi="Verdana" w:cs="Arial"/>
                <w:b/>
                <w:bCs/>
                <w:color w:val="000000"/>
                <w:sz w:val="20"/>
                <w:szCs w:val="20"/>
                <w:lang w:eastAsia="en-GB"/>
              </w:rPr>
            </w:pPr>
          </w:p>
        </w:tc>
      </w:tr>
    </w:tbl>
    <w:p w:rsidR="003219F5" w:rsidRDefault="003219F5" w:rsidP="008C7400"/>
    <w:p w:rsidR="00313646" w:rsidRDefault="00313646" w:rsidP="008C7400"/>
    <w:p w:rsidR="00313646" w:rsidRPr="00E446A8" w:rsidRDefault="00313646" w:rsidP="00096116">
      <w:pPr>
        <w:ind w:left="709"/>
        <w:rPr>
          <w:rFonts w:ascii="Verdana" w:hAnsi="Verdana"/>
          <w:b/>
        </w:rPr>
      </w:pPr>
      <w:r w:rsidRPr="00E446A8">
        <w:rPr>
          <w:rFonts w:ascii="Verdana" w:hAnsi="Verdana"/>
          <w:b/>
        </w:rPr>
        <w:t>Changes to Early Years Block</w:t>
      </w:r>
    </w:p>
    <w:p w:rsidR="00313646" w:rsidRPr="00E446A8" w:rsidRDefault="00313646" w:rsidP="00313646">
      <w:pPr>
        <w:rPr>
          <w:rFonts w:ascii="Verdana" w:hAnsi="Verdana"/>
        </w:rPr>
      </w:pPr>
    </w:p>
    <w:p w:rsidR="00313646" w:rsidRPr="00651958" w:rsidRDefault="00313646" w:rsidP="00313646">
      <w:pPr>
        <w:pStyle w:val="ListParagraph"/>
        <w:numPr>
          <w:ilvl w:val="0"/>
          <w:numId w:val="4"/>
        </w:numPr>
        <w:jc w:val="both"/>
        <w:rPr>
          <w:rFonts w:ascii="Verdana" w:hAnsi="Verdana"/>
          <w:vanish/>
        </w:rPr>
      </w:pPr>
    </w:p>
    <w:p w:rsidR="00313646" w:rsidRPr="00651958" w:rsidRDefault="00313646" w:rsidP="00313646">
      <w:pPr>
        <w:pStyle w:val="ListParagraph"/>
        <w:numPr>
          <w:ilvl w:val="0"/>
          <w:numId w:val="4"/>
        </w:numPr>
        <w:jc w:val="both"/>
        <w:rPr>
          <w:rFonts w:ascii="Verdana" w:hAnsi="Verdana"/>
          <w:vanish/>
        </w:rPr>
      </w:pPr>
    </w:p>
    <w:p w:rsidR="00313646" w:rsidRPr="00651958" w:rsidRDefault="00313646" w:rsidP="00313646">
      <w:pPr>
        <w:pStyle w:val="ListParagraph"/>
        <w:numPr>
          <w:ilvl w:val="1"/>
          <w:numId w:val="4"/>
        </w:numPr>
        <w:jc w:val="both"/>
        <w:rPr>
          <w:rFonts w:ascii="Verdana" w:hAnsi="Verdana"/>
          <w:vanish/>
        </w:rPr>
      </w:pPr>
    </w:p>
    <w:p w:rsidR="00313646" w:rsidRPr="00651958" w:rsidRDefault="00313646" w:rsidP="00313646">
      <w:pPr>
        <w:pStyle w:val="ListParagraph"/>
        <w:numPr>
          <w:ilvl w:val="1"/>
          <w:numId w:val="4"/>
        </w:numPr>
        <w:jc w:val="both"/>
        <w:rPr>
          <w:rFonts w:ascii="Verdana" w:hAnsi="Verdana"/>
          <w:vanish/>
        </w:rPr>
      </w:pPr>
    </w:p>
    <w:p w:rsidR="00313646" w:rsidRPr="00E446A8" w:rsidRDefault="00313646" w:rsidP="00096116">
      <w:pPr>
        <w:pStyle w:val="ListParagraph"/>
        <w:numPr>
          <w:ilvl w:val="1"/>
          <w:numId w:val="4"/>
        </w:numPr>
        <w:ind w:left="709" w:hanging="709"/>
        <w:jc w:val="both"/>
        <w:rPr>
          <w:rFonts w:ascii="Verdana" w:hAnsi="Verdana"/>
        </w:rPr>
      </w:pPr>
      <w:r w:rsidRPr="00E446A8">
        <w:rPr>
          <w:rFonts w:ascii="Verdana" w:hAnsi="Verdana"/>
        </w:rPr>
        <w:t xml:space="preserve">Funding for the Early Years Block is </w:t>
      </w:r>
      <w:r w:rsidR="00325310">
        <w:rPr>
          <w:rFonts w:ascii="Verdana" w:hAnsi="Verdana"/>
        </w:rPr>
        <w:t xml:space="preserve">broken down into 3 areas, the 3 and </w:t>
      </w:r>
      <w:proofErr w:type="gramStart"/>
      <w:r w:rsidRPr="00E446A8">
        <w:rPr>
          <w:rFonts w:ascii="Verdana" w:hAnsi="Verdana"/>
        </w:rPr>
        <w:t>4 year old</w:t>
      </w:r>
      <w:proofErr w:type="gramEnd"/>
      <w:r w:rsidRPr="00E446A8">
        <w:rPr>
          <w:rFonts w:ascii="Verdana" w:hAnsi="Verdana"/>
        </w:rPr>
        <w:t xml:space="preserve"> funding formula, the 2 year old funding formula and the early years pupil premium.</w:t>
      </w:r>
    </w:p>
    <w:p w:rsidR="00313646" w:rsidRPr="00E446A8" w:rsidRDefault="00313646" w:rsidP="00096116">
      <w:pPr>
        <w:pStyle w:val="ListParagraph"/>
        <w:ind w:left="709" w:hanging="709"/>
        <w:jc w:val="both"/>
        <w:rPr>
          <w:rFonts w:ascii="Verdana" w:hAnsi="Verdana"/>
        </w:rPr>
      </w:pPr>
    </w:p>
    <w:p w:rsidR="00313646" w:rsidRPr="00096116" w:rsidRDefault="00313646" w:rsidP="00096116">
      <w:pPr>
        <w:pStyle w:val="ListParagraph"/>
        <w:numPr>
          <w:ilvl w:val="1"/>
          <w:numId w:val="4"/>
        </w:numPr>
        <w:ind w:left="709" w:hanging="709"/>
        <w:jc w:val="both"/>
        <w:rPr>
          <w:rFonts w:ascii="Verdana" w:hAnsi="Verdana"/>
        </w:rPr>
      </w:pPr>
      <w:r w:rsidRPr="00096116">
        <w:rPr>
          <w:rFonts w:ascii="Verdana" w:hAnsi="Verdana"/>
        </w:rPr>
        <w:t>3</w:t>
      </w:r>
      <w:r w:rsidR="00325310" w:rsidRPr="00096116">
        <w:rPr>
          <w:rFonts w:ascii="Verdana" w:hAnsi="Verdana"/>
        </w:rPr>
        <w:t xml:space="preserve"> and </w:t>
      </w:r>
      <w:proofErr w:type="gramStart"/>
      <w:r w:rsidRPr="00096116">
        <w:rPr>
          <w:rFonts w:ascii="Verdana" w:hAnsi="Verdana"/>
        </w:rPr>
        <w:t>4 year old</w:t>
      </w:r>
      <w:proofErr w:type="gramEnd"/>
      <w:r w:rsidRPr="00096116">
        <w:rPr>
          <w:rFonts w:ascii="Verdana" w:hAnsi="Verdana"/>
        </w:rPr>
        <w:t xml:space="preserve"> funding and 2 year old funding are both calculated as an amount per pupil with pupil numbers taken as an average of the three termly census’.  Current funding levels will therefore be updated again as the 2016/2017 position becomes clear.</w:t>
      </w:r>
      <w:r w:rsidR="00096116" w:rsidRPr="00096116">
        <w:rPr>
          <w:rFonts w:ascii="Verdana" w:hAnsi="Verdana"/>
        </w:rPr>
        <w:t xml:space="preserve">  </w:t>
      </w:r>
      <w:r w:rsidR="00325310" w:rsidRPr="00096116">
        <w:rPr>
          <w:rFonts w:ascii="Verdana" w:hAnsi="Verdana"/>
        </w:rPr>
        <w:t>Tables 2 and 3 show</w:t>
      </w:r>
      <w:r w:rsidRPr="00096116">
        <w:rPr>
          <w:rFonts w:ascii="Verdana" w:hAnsi="Verdana"/>
        </w:rPr>
        <w:t xml:space="preserve"> the movement in pupil numbers </w:t>
      </w:r>
      <w:r w:rsidR="00325310" w:rsidRPr="00096116">
        <w:rPr>
          <w:rFonts w:ascii="Verdana" w:hAnsi="Verdana"/>
        </w:rPr>
        <w:t>for the two formula.</w:t>
      </w:r>
    </w:p>
    <w:p w:rsidR="00096116" w:rsidRDefault="00096116" w:rsidP="00096116">
      <w:pPr>
        <w:ind w:left="709" w:hanging="709"/>
        <w:jc w:val="both"/>
        <w:rPr>
          <w:rFonts w:ascii="Verdana" w:hAnsi="Verdana"/>
        </w:rPr>
      </w:pPr>
    </w:p>
    <w:p w:rsidR="00313646" w:rsidRPr="00E446A8" w:rsidRDefault="00313646" w:rsidP="00313646">
      <w:pPr>
        <w:rPr>
          <w:rFonts w:ascii="Verdana" w:hAnsi="Verdana"/>
          <w:b/>
          <w:sz w:val="22"/>
          <w:szCs w:val="22"/>
        </w:rPr>
      </w:pPr>
      <w:r w:rsidRPr="00E446A8">
        <w:rPr>
          <w:rFonts w:ascii="Verdana" w:hAnsi="Verdana"/>
          <w:b/>
          <w:sz w:val="22"/>
          <w:szCs w:val="22"/>
        </w:rPr>
        <w:lastRenderedPageBreak/>
        <w:t xml:space="preserve">  </w:t>
      </w:r>
      <w:r w:rsidR="00325310">
        <w:rPr>
          <w:rFonts w:ascii="Verdana" w:hAnsi="Verdana"/>
          <w:b/>
          <w:sz w:val="22"/>
          <w:szCs w:val="22"/>
        </w:rPr>
        <w:t>Table 2</w:t>
      </w:r>
    </w:p>
    <w:tbl>
      <w:tblPr>
        <w:tblStyle w:val="TableGrid"/>
        <w:tblW w:w="0" w:type="auto"/>
        <w:tblLook w:val="04A0" w:firstRow="1" w:lastRow="0" w:firstColumn="1" w:lastColumn="0" w:noHBand="0" w:noVBand="1"/>
      </w:tblPr>
      <w:tblGrid>
        <w:gridCol w:w="2675"/>
        <w:gridCol w:w="2104"/>
        <w:gridCol w:w="2076"/>
        <w:gridCol w:w="2161"/>
      </w:tblGrid>
      <w:tr w:rsidR="00313646" w:rsidRPr="00E446A8" w:rsidTr="00325310">
        <w:trPr>
          <w:trHeight w:val="575"/>
        </w:trPr>
        <w:tc>
          <w:tcPr>
            <w:tcW w:w="2802" w:type="dxa"/>
            <w:shd w:val="clear" w:color="auto" w:fill="F2F2F2" w:themeFill="background1" w:themeFillShade="F2"/>
            <w:vAlign w:val="center"/>
          </w:tcPr>
          <w:p w:rsidR="00313646" w:rsidRPr="00E446A8" w:rsidRDefault="00325310" w:rsidP="00325310">
            <w:pPr>
              <w:jc w:val="center"/>
              <w:rPr>
                <w:rFonts w:ascii="Verdana" w:hAnsi="Verdana"/>
                <w:b/>
                <w:sz w:val="22"/>
                <w:szCs w:val="22"/>
              </w:rPr>
            </w:pPr>
            <w:r>
              <w:rPr>
                <w:rFonts w:ascii="Verdana" w:hAnsi="Verdana"/>
                <w:b/>
                <w:sz w:val="22"/>
                <w:szCs w:val="22"/>
              </w:rPr>
              <w:t>3 and 4 Year Old Funding</w:t>
            </w:r>
          </w:p>
        </w:tc>
        <w:tc>
          <w:tcPr>
            <w:tcW w:w="2126" w:type="dxa"/>
            <w:shd w:val="clear" w:color="auto" w:fill="F2F2F2" w:themeFill="background1" w:themeFillShade="F2"/>
            <w:vAlign w:val="center"/>
          </w:tcPr>
          <w:p w:rsidR="00313646" w:rsidRPr="00E446A8" w:rsidRDefault="00313646" w:rsidP="00325310">
            <w:pPr>
              <w:jc w:val="center"/>
              <w:rPr>
                <w:rFonts w:ascii="Verdana" w:hAnsi="Verdana"/>
                <w:b/>
                <w:sz w:val="22"/>
                <w:szCs w:val="22"/>
              </w:rPr>
            </w:pPr>
            <w:r>
              <w:rPr>
                <w:rFonts w:ascii="Verdana" w:hAnsi="Verdana"/>
                <w:b/>
                <w:sz w:val="22"/>
                <w:szCs w:val="22"/>
              </w:rPr>
              <w:t>June</w:t>
            </w:r>
          </w:p>
        </w:tc>
        <w:tc>
          <w:tcPr>
            <w:tcW w:w="2126" w:type="dxa"/>
            <w:shd w:val="clear" w:color="auto" w:fill="F2F2F2" w:themeFill="background1" w:themeFillShade="F2"/>
            <w:vAlign w:val="center"/>
          </w:tcPr>
          <w:p w:rsidR="00313646" w:rsidRPr="00E446A8" w:rsidRDefault="00313646" w:rsidP="00325310">
            <w:pPr>
              <w:jc w:val="center"/>
              <w:rPr>
                <w:rFonts w:ascii="Verdana" w:hAnsi="Verdana"/>
                <w:b/>
                <w:sz w:val="22"/>
                <w:szCs w:val="22"/>
              </w:rPr>
            </w:pPr>
            <w:r w:rsidRPr="00E446A8">
              <w:rPr>
                <w:rFonts w:ascii="Verdana" w:hAnsi="Verdana"/>
                <w:b/>
                <w:sz w:val="22"/>
                <w:szCs w:val="22"/>
              </w:rPr>
              <w:t>Change</w:t>
            </w:r>
          </w:p>
        </w:tc>
        <w:tc>
          <w:tcPr>
            <w:tcW w:w="2188" w:type="dxa"/>
            <w:shd w:val="clear" w:color="auto" w:fill="F2F2F2" w:themeFill="background1" w:themeFillShade="F2"/>
            <w:vAlign w:val="center"/>
          </w:tcPr>
          <w:p w:rsidR="00313646" w:rsidRPr="00E446A8" w:rsidRDefault="00313646" w:rsidP="00325310">
            <w:pPr>
              <w:jc w:val="center"/>
              <w:rPr>
                <w:rFonts w:ascii="Verdana" w:hAnsi="Verdana"/>
                <w:b/>
                <w:sz w:val="22"/>
                <w:szCs w:val="22"/>
              </w:rPr>
            </w:pPr>
            <w:r>
              <w:rPr>
                <w:rFonts w:ascii="Verdana" w:hAnsi="Verdana"/>
                <w:b/>
                <w:sz w:val="22"/>
                <w:szCs w:val="22"/>
              </w:rPr>
              <w:t>October</w:t>
            </w:r>
          </w:p>
        </w:tc>
      </w:tr>
      <w:tr w:rsidR="00313646" w:rsidRPr="00E446A8" w:rsidTr="00342B17">
        <w:tc>
          <w:tcPr>
            <w:tcW w:w="2802" w:type="dxa"/>
          </w:tcPr>
          <w:p w:rsidR="00313646" w:rsidRPr="00E446A8" w:rsidRDefault="00313646" w:rsidP="00342B17">
            <w:pPr>
              <w:rPr>
                <w:rFonts w:ascii="Verdana" w:hAnsi="Verdana"/>
                <w:sz w:val="22"/>
                <w:szCs w:val="22"/>
              </w:rPr>
            </w:pPr>
            <w:r w:rsidRPr="00E446A8">
              <w:rPr>
                <w:rFonts w:ascii="Verdana" w:hAnsi="Verdana"/>
                <w:sz w:val="22"/>
                <w:szCs w:val="22"/>
              </w:rPr>
              <w:t>Funding / Child</w:t>
            </w:r>
            <w:r>
              <w:rPr>
                <w:rFonts w:ascii="Verdana" w:hAnsi="Verdana"/>
                <w:sz w:val="22"/>
                <w:szCs w:val="22"/>
              </w:rPr>
              <w:t xml:space="preserve"> (£)</w:t>
            </w:r>
          </w:p>
        </w:tc>
        <w:tc>
          <w:tcPr>
            <w:tcW w:w="2126" w:type="dxa"/>
          </w:tcPr>
          <w:p w:rsidR="00313646" w:rsidRPr="00313646" w:rsidRDefault="00313646" w:rsidP="00342B17">
            <w:pPr>
              <w:jc w:val="right"/>
              <w:rPr>
                <w:rFonts w:ascii="Verdana" w:hAnsi="Verdana"/>
                <w:sz w:val="22"/>
                <w:szCs w:val="22"/>
              </w:rPr>
            </w:pPr>
            <w:r w:rsidRPr="00313646">
              <w:rPr>
                <w:rFonts w:ascii="Verdana" w:hAnsi="Verdana"/>
                <w:sz w:val="22"/>
                <w:szCs w:val="22"/>
              </w:rPr>
              <w:t>6,840.91</w:t>
            </w:r>
          </w:p>
        </w:tc>
        <w:tc>
          <w:tcPr>
            <w:tcW w:w="2126" w:type="dxa"/>
          </w:tcPr>
          <w:p w:rsidR="00313646" w:rsidRPr="00313646" w:rsidRDefault="00313646" w:rsidP="00342B17">
            <w:pPr>
              <w:jc w:val="right"/>
              <w:rPr>
                <w:rFonts w:ascii="Verdana" w:hAnsi="Verdana"/>
                <w:sz w:val="22"/>
                <w:szCs w:val="22"/>
              </w:rPr>
            </w:pPr>
            <w:r w:rsidRPr="00313646">
              <w:rPr>
                <w:rFonts w:ascii="Verdana" w:hAnsi="Verdana"/>
                <w:sz w:val="22"/>
                <w:szCs w:val="22"/>
              </w:rPr>
              <w:t>0</w:t>
            </w:r>
          </w:p>
        </w:tc>
        <w:tc>
          <w:tcPr>
            <w:tcW w:w="2188" w:type="dxa"/>
          </w:tcPr>
          <w:p w:rsidR="00313646" w:rsidRPr="00313646" w:rsidRDefault="00313646" w:rsidP="00342B17">
            <w:pPr>
              <w:jc w:val="right"/>
              <w:rPr>
                <w:rFonts w:ascii="Verdana" w:hAnsi="Verdana"/>
                <w:sz w:val="22"/>
                <w:szCs w:val="22"/>
              </w:rPr>
            </w:pPr>
            <w:r w:rsidRPr="00313646">
              <w:rPr>
                <w:rFonts w:ascii="Verdana" w:hAnsi="Verdana"/>
                <w:sz w:val="22"/>
                <w:szCs w:val="22"/>
              </w:rPr>
              <w:t>6,840.91</w:t>
            </w:r>
          </w:p>
        </w:tc>
      </w:tr>
      <w:tr w:rsidR="00313646" w:rsidRPr="00E446A8" w:rsidTr="00342B17">
        <w:tc>
          <w:tcPr>
            <w:tcW w:w="2802" w:type="dxa"/>
          </w:tcPr>
          <w:p w:rsidR="00313646" w:rsidRPr="00E446A8" w:rsidRDefault="00313646" w:rsidP="00342B17">
            <w:pPr>
              <w:rPr>
                <w:rFonts w:ascii="Verdana" w:hAnsi="Verdana"/>
                <w:sz w:val="22"/>
                <w:szCs w:val="22"/>
              </w:rPr>
            </w:pPr>
            <w:r w:rsidRPr="00E446A8">
              <w:rPr>
                <w:rFonts w:ascii="Verdana" w:hAnsi="Verdana"/>
                <w:sz w:val="22"/>
                <w:szCs w:val="22"/>
              </w:rPr>
              <w:t>No. of Children</w:t>
            </w:r>
          </w:p>
        </w:tc>
        <w:tc>
          <w:tcPr>
            <w:tcW w:w="2126" w:type="dxa"/>
          </w:tcPr>
          <w:p w:rsidR="00313646" w:rsidRPr="00313646" w:rsidRDefault="00313646" w:rsidP="00342B17">
            <w:pPr>
              <w:jc w:val="right"/>
              <w:rPr>
                <w:rFonts w:ascii="Verdana" w:hAnsi="Verdana"/>
                <w:sz w:val="22"/>
                <w:szCs w:val="22"/>
              </w:rPr>
            </w:pPr>
            <w:r w:rsidRPr="00313646">
              <w:rPr>
                <w:rFonts w:ascii="Verdana" w:hAnsi="Verdana"/>
                <w:sz w:val="22"/>
                <w:szCs w:val="22"/>
              </w:rPr>
              <w:t>1,581</w:t>
            </w:r>
          </w:p>
        </w:tc>
        <w:tc>
          <w:tcPr>
            <w:tcW w:w="2126" w:type="dxa"/>
          </w:tcPr>
          <w:p w:rsidR="00313646" w:rsidRPr="00313646" w:rsidRDefault="00313646" w:rsidP="00342B17">
            <w:pPr>
              <w:ind w:left="45"/>
              <w:jc w:val="right"/>
              <w:rPr>
                <w:rFonts w:ascii="Verdana" w:hAnsi="Verdana"/>
                <w:sz w:val="22"/>
                <w:szCs w:val="22"/>
              </w:rPr>
            </w:pPr>
            <w:r w:rsidRPr="00313646">
              <w:rPr>
                <w:rFonts w:ascii="Verdana" w:hAnsi="Verdana"/>
                <w:sz w:val="22"/>
                <w:szCs w:val="22"/>
              </w:rPr>
              <w:t xml:space="preserve"> - 96</w:t>
            </w:r>
          </w:p>
        </w:tc>
        <w:tc>
          <w:tcPr>
            <w:tcW w:w="2188" w:type="dxa"/>
          </w:tcPr>
          <w:p w:rsidR="00313646" w:rsidRPr="00313646" w:rsidRDefault="00313646" w:rsidP="00342B17">
            <w:pPr>
              <w:jc w:val="right"/>
              <w:rPr>
                <w:rFonts w:ascii="Verdana" w:hAnsi="Verdana"/>
                <w:sz w:val="22"/>
                <w:szCs w:val="22"/>
              </w:rPr>
            </w:pPr>
            <w:r w:rsidRPr="00313646">
              <w:rPr>
                <w:rFonts w:ascii="Verdana" w:hAnsi="Verdana"/>
                <w:sz w:val="22"/>
                <w:szCs w:val="22"/>
              </w:rPr>
              <w:t>1,485</w:t>
            </w:r>
          </w:p>
        </w:tc>
      </w:tr>
      <w:tr w:rsidR="00313646" w:rsidRPr="00E446A8" w:rsidTr="00342B17">
        <w:tc>
          <w:tcPr>
            <w:tcW w:w="2802" w:type="dxa"/>
          </w:tcPr>
          <w:p w:rsidR="00313646" w:rsidRPr="00325310" w:rsidRDefault="00313646" w:rsidP="00342B17">
            <w:pPr>
              <w:rPr>
                <w:rFonts w:ascii="Verdana" w:hAnsi="Verdana"/>
                <w:b/>
                <w:sz w:val="22"/>
                <w:szCs w:val="22"/>
              </w:rPr>
            </w:pPr>
            <w:r w:rsidRPr="00325310">
              <w:rPr>
                <w:rFonts w:ascii="Verdana" w:hAnsi="Verdana"/>
                <w:b/>
                <w:sz w:val="22"/>
                <w:szCs w:val="22"/>
              </w:rPr>
              <w:t>TOTAL</w:t>
            </w:r>
          </w:p>
        </w:tc>
        <w:tc>
          <w:tcPr>
            <w:tcW w:w="2126" w:type="dxa"/>
          </w:tcPr>
          <w:p w:rsidR="00313646" w:rsidRPr="00313646" w:rsidRDefault="00313646" w:rsidP="00342B17">
            <w:pPr>
              <w:jc w:val="right"/>
              <w:rPr>
                <w:rFonts w:ascii="Verdana" w:hAnsi="Verdana"/>
                <w:b/>
                <w:sz w:val="22"/>
                <w:szCs w:val="22"/>
              </w:rPr>
            </w:pPr>
            <w:r w:rsidRPr="00313646">
              <w:rPr>
                <w:rFonts w:ascii="Verdana" w:eastAsia="Times New Roman" w:hAnsi="Verdana" w:cs="Arial"/>
                <w:color w:val="000000"/>
                <w:sz w:val="22"/>
                <w:szCs w:val="22"/>
                <w:lang w:eastAsia="en-GB"/>
              </w:rPr>
              <w:t>10,815,478.71</w:t>
            </w:r>
          </w:p>
        </w:tc>
        <w:tc>
          <w:tcPr>
            <w:tcW w:w="2126" w:type="dxa"/>
          </w:tcPr>
          <w:p w:rsidR="00313646" w:rsidRPr="00313646" w:rsidRDefault="00313646" w:rsidP="00342B17">
            <w:pPr>
              <w:jc w:val="right"/>
              <w:rPr>
                <w:rFonts w:ascii="Verdana" w:hAnsi="Verdana"/>
                <w:sz w:val="22"/>
                <w:szCs w:val="22"/>
              </w:rPr>
            </w:pPr>
            <w:r w:rsidRPr="00313646">
              <w:rPr>
                <w:rFonts w:ascii="Verdana" w:eastAsia="Times New Roman" w:hAnsi="Verdana" w:cs="Arial"/>
                <w:color w:val="000000"/>
                <w:sz w:val="22"/>
                <w:szCs w:val="22"/>
                <w:lang w:eastAsia="en-GB"/>
              </w:rPr>
              <w:t>- 656,727.36</w:t>
            </w:r>
          </w:p>
        </w:tc>
        <w:tc>
          <w:tcPr>
            <w:tcW w:w="2188" w:type="dxa"/>
          </w:tcPr>
          <w:p w:rsidR="00313646" w:rsidRPr="00313646" w:rsidRDefault="00313646" w:rsidP="00342B17">
            <w:pPr>
              <w:jc w:val="right"/>
              <w:rPr>
                <w:rFonts w:ascii="Verdana" w:hAnsi="Verdana"/>
                <w:b/>
                <w:sz w:val="22"/>
                <w:szCs w:val="22"/>
              </w:rPr>
            </w:pPr>
            <w:r w:rsidRPr="00313646">
              <w:rPr>
                <w:rFonts w:ascii="Verdana" w:eastAsia="Times New Roman" w:hAnsi="Verdana" w:cs="Arial"/>
                <w:color w:val="000000"/>
                <w:sz w:val="22"/>
                <w:szCs w:val="22"/>
                <w:lang w:eastAsia="en-GB"/>
              </w:rPr>
              <w:t xml:space="preserve">    10,158,751.35</w:t>
            </w:r>
          </w:p>
        </w:tc>
      </w:tr>
    </w:tbl>
    <w:p w:rsidR="00313646" w:rsidRPr="00E446A8" w:rsidRDefault="00313646" w:rsidP="00313646">
      <w:pPr>
        <w:jc w:val="center"/>
        <w:rPr>
          <w:rFonts w:ascii="Verdana" w:hAnsi="Verdana"/>
          <w:sz w:val="22"/>
          <w:szCs w:val="22"/>
        </w:rPr>
      </w:pPr>
    </w:p>
    <w:p w:rsidR="00313646" w:rsidRPr="00E446A8" w:rsidRDefault="00313646" w:rsidP="00313646">
      <w:pPr>
        <w:rPr>
          <w:rFonts w:ascii="Verdana" w:hAnsi="Verdana"/>
          <w:b/>
          <w:sz w:val="22"/>
          <w:szCs w:val="22"/>
        </w:rPr>
      </w:pPr>
      <w:r w:rsidRPr="00E446A8">
        <w:rPr>
          <w:rFonts w:ascii="Verdana" w:hAnsi="Verdana"/>
          <w:b/>
          <w:sz w:val="22"/>
          <w:szCs w:val="22"/>
        </w:rPr>
        <w:t xml:space="preserve">  </w:t>
      </w:r>
      <w:r w:rsidR="00325310">
        <w:rPr>
          <w:rFonts w:ascii="Verdana" w:hAnsi="Verdana"/>
          <w:b/>
          <w:sz w:val="22"/>
          <w:szCs w:val="22"/>
        </w:rPr>
        <w:t>Table 3</w:t>
      </w:r>
    </w:p>
    <w:tbl>
      <w:tblPr>
        <w:tblStyle w:val="TableGrid"/>
        <w:tblW w:w="0" w:type="auto"/>
        <w:tblLook w:val="04A0" w:firstRow="1" w:lastRow="0" w:firstColumn="1" w:lastColumn="0" w:noHBand="0" w:noVBand="1"/>
      </w:tblPr>
      <w:tblGrid>
        <w:gridCol w:w="2692"/>
        <w:gridCol w:w="2097"/>
        <w:gridCol w:w="2072"/>
        <w:gridCol w:w="2155"/>
      </w:tblGrid>
      <w:tr w:rsidR="00313646" w:rsidRPr="00E446A8" w:rsidTr="00325310">
        <w:trPr>
          <w:trHeight w:val="631"/>
        </w:trPr>
        <w:tc>
          <w:tcPr>
            <w:tcW w:w="2802" w:type="dxa"/>
            <w:shd w:val="clear" w:color="auto" w:fill="F2F2F2" w:themeFill="background1" w:themeFillShade="F2"/>
            <w:vAlign w:val="center"/>
          </w:tcPr>
          <w:p w:rsidR="00313646" w:rsidRPr="00E446A8" w:rsidRDefault="00325310" w:rsidP="00325310">
            <w:pPr>
              <w:jc w:val="center"/>
              <w:rPr>
                <w:rFonts w:ascii="Verdana" w:hAnsi="Verdana"/>
                <w:b/>
                <w:sz w:val="22"/>
                <w:szCs w:val="22"/>
              </w:rPr>
            </w:pPr>
            <w:r>
              <w:rPr>
                <w:rFonts w:ascii="Verdana" w:hAnsi="Verdana"/>
                <w:b/>
                <w:sz w:val="22"/>
                <w:szCs w:val="22"/>
              </w:rPr>
              <w:t>2 Year Old Funding</w:t>
            </w:r>
          </w:p>
        </w:tc>
        <w:tc>
          <w:tcPr>
            <w:tcW w:w="2126" w:type="dxa"/>
            <w:shd w:val="clear" w:color="auto" w:fill="F2F2F2" w:themeFill="background1" w:themeFillShade="F2"/>
            <w:vAlign w:val="center"/>
          </w:tcPr>
          <w:p w:rsidR="00313646" w:rsidRPr="00E446A8" w:rsidRDefault="00313646" w:rsidP="00325310">
            <w:pPr>
              <w:jc w:val="center"/>
              <w:rPr>
                <w:rFonts w:ascii="Verdana" w:hAnsi="Verdana"/>
                <w:b/>
                <w:sz w:val="22"/>
                <w:szCs w:val="22"/>
              </w:rPr>
            </w:pPr>
            <w:r>
              <w:rPr>
                <w:rFonts w:ascii="Verdana" w:hAnsi="Verdana"/>
                <w:b/>
                <w:sz w:val="22"/>
                <w:szCs w:val="22"/>
              </w:rPr>
              <w:t>June</w:t>
            </w:r>
          </w:p>
        </w:tc>
        <w:tc>
          <w:tcPr>
            <w:tcW w:w="2126" w:type="dxa"/>
            <w:shd w:val="clear" w:color="auto" w:fill="F2F2F2" w:themeFill="background1" w:themeFillShade="F2"/>
            <w:vAlign w:val="center"/>
          </w:tcPr>
          <w:p w:rsidR="00313646" w:rsidRPr="00E446A8" w:rsidRDefault="00313646" w:rsidP="00325310">
            <w:pPr>
              <w:jc w:val="center"/>
              <w:rPr>
                <w:rFonts w:ascii="Verdana" w:hAnsi="Verdana"/>
                <w:b/>
                <w:sz w:val="22"/>
                <w:szCs w:val="22"/>
              </w:rPr>
            </w:pPr>
            <w:r w:rsidRPr="00E446A8">
              <w:rPr>
                <w:rFonts w:ascii="Verdana" w:hAnsi="Verdana"/>
                <w:b/>
                <w:sz w:val="22"/>
                <w:szCs w:val="22"/>
              </w:rPr>
              <w:t>Change</w:t>
            </w:r>
          </w:p>
        </w:tc>
        <w:tc>
          <w:tcPr>
            <w:tcW w:w="2188" w:type="dxa"/>
            <w:shd w:val="clear" w:color="auto" w:fill="F2F2F2" w:themeFill="background1" w:themeFillShade="F2"/>
            <w:vAlign w:val="center"/>
          </w:tcPr>
          <w:p w:rsidR="00313646" w:rsidRPr="00E446A8" w:rsidRDefault="00313646" w:rsidP="00325310">
            <w:pPr>
              <w:jc w:val="center"/>
              <w:rPr>
                <w:rFonts w:ascii="Verdana" w:hAnsi="Verdana"/>
                <w:b/>
                <w:sz w:val="22"/>
                <w:szCs w:val="22"/>
              </w:rPr>
            </w:pPr>
            <w:r>
              <w:rPr>
                <w:rFonts w:ascii="Verdana" w:hAnsi="Verdana"/>
                <w:b/>
                <w:sz w:val="22"/>
                <w:szCs w:val="22"/>
              </w:rPr>
              <w:t>October</w:t>
            </w:r>
          </w:p>
        </w:tc>
      </w:tr>
      <w:tr w:rsidR="00313646" w:rsidRPr="00E446A8" w:rsidTr="00342B17">
        <w:tc>
          <w:tcPr>
            <w:tcW w:w="2802" w:type="dxa"/>
          </w:tcPr>
          <w:p w:rsidR="00313646" w:rsidRPr="00E446A8" w:rsidRDefault="00313646" w:rsidP="00342B17">
            <w:pPr>
              <w:rPr>
                <w:rFonts w:ascii="Verdana" w:hAnsi="Verdana"/>
                <w:sz w:val="22"/>
                <w:szCs w:val="22"/>
              </w:rPr>
            </w:pPr>
            <w:r w:rsidRPr="00E446A8">
              <w:rPr>
                <w:rFonts w:ascii="Verdana" w:hAnsi="Verdana"/>
                <w:sz w:val="22"/>
                <w:szCs w:val="22"/>
              </w:rPr>
              <w:t>Funding / Child</w:t>
            </w:r>
            <w:r>
              <w:rPr>
                <w:rFonts w:ascii="Verdana" w:hAnsi="Verdana"/>
                <w:sz w:val="22"/>
                <w:szCs w:val="22"/>
              </w:rPr>
              <w:t xml:space="preserve"> (£)</w:t>
            </w:r>
          </w:p>
        </w:tc>
        <w:tc>
          <w:tcPr>
            <w:tcW w:w="2126" w:type="dxa"/>
          </w:tcPr>
          <w:p w:rsidR="00313646" w:rsidRPr="00313646" w:rsidRDefault="00313646" w:rsidP="00342B17">
            <w:pPr>
              <w:jc w:val="right"/>
              <w:rPr>
                <w:rFonts w:ascii="Verdana" w:hAnsi="Verdana"/>
                <w:sz w:val="22"/>
                <w:szCs w:val="22"/>
              </w:rPr>
            </w:pPr>
            <w:r w:rsidRPr="00313646">
              <w:rPr>
                <w:rFonts w:ascii="Verdana" w:hAnsi="Verdana"/>
                <w:sz w:val="22"/>
                <w:szCs w:val="22"/>
              </w:rPr>
              <w:t>5,766.50</w:t>
            </w:r>
          </w:p>
        </w:tc>
        <w:tc>
          <w:tcPr>
            <w:tcW w:w="2126" w:type="dxa"/>
          </w:tcPr>
          <w:p w:rsidR="00313646" w:rsidRPr="00313646" w:rsidRDefault="00313646" w:rsidP="00342B17">
            <w:pPr>
              <w:jc w:val="right"/>
              <w:rPr>
                <w:rFonts w:ascii="Verdana" w:hAnsi="Verdana"/>
                <w:sz w:val="22"/>
                <w:szCs w:val="22"/>
              </w:rPr>
            </w:pPr>
            <w:r w:rsidRPr="00313646">
              <w:rPr>
                <w:rFonts w:ascii="Verdana" w:hAnsi="Verdana"/>
                <w:sz w:val="22"/>
                <w:szCs w:val="22"/>
              </w:rPr>
              <w:t>0</w:t>
            </w:r>
          </w:p>
        </w:tc>
        <w:tc>
          <w:tcPr>
            <w:tcW w:w="2188" w:type="dxa"/>
          </w:tcPr>
          <w:p w:rsidR="00313646" w:rsidRPr="00313646" w:rsidRDefault="00313646" w:rsidP="00342B17">
            <w:pPr>
              <w:jc w:val="right"/>
              <w:rPr>
                <w:rFonts w:ascii="Verdana" w:hAnsi="Verdana"/>
                <w:sz w:val="22"/>
                <w:szCs w:val="22"/>
              </w:rPr>
            </w:pPr>
            <w:r w:rsidRPr="00313646">
              <w:rPr>
                <w:rFonts w:ascii="Verdana" w:hAnsi="Verdana"/>
                <w:sz w:val="22"/>
                <w:szCs w:val="22"/>
              </w:rPr>
              <w:t>5,766.50</w:t>
            </w:r>
          </w:p>
        </w:tc>
      </w:tr>
      <w:tr w:rsidR="00313646" w:rsidRPr="00E446A8" w:rsidTr="00342B17">
        <w:tc>
          <w:tcPr>
            <w:tcW w:w="2802" w:type="dxa"/>
          </w:tcPr>
          <w:p w:rsidR="00313646" w:rsidRPr="00E446A8" w:rsidRDefault="00313646" w:rsidP="00342B17">
            <w:pPr>
              <w:rPr>
                <w:rFonts w:ascii="Verdana" w:hAnsi="Verdana"/>
                <w:sz w:val="22"/>
                <w:szCs w:val="22"/>
              </w:rPr>
            </w:pPr>
            <w:r w:rsidRPr="00E446A8">
              <w:rPr>
                <w:rFonts w:ascii="Verdana" w:hAnsi="Verdana"/>
                <w:sz w:val="22"/>
                <w:szCs w:val="22"/>
              </w:rPr>
              <w:t>No. of Children</w:t>
            </w:r>
          </w:p>
        </w:tc>
        <w:tc>
          <w:tcPr>
            <w:tcW w:w="2126" w:type="dxa"/>
          </w:tcPr>
          <w:p w:rsidR="00313646" w:rsidRPr="00313646" w:rsidRDefault="00313646" w:rsidP="00342B17">
            <w:pPr>
              <w:jc w:val="right"/>
              <w:rPr>
                <w:rFonts w:ascii="Verdana" w:hAnsi="Verdana"/>
                <w:sz w:val="22"/>
                <w:szCs w:val="22"/>
              </w:rPr>
            </w:pPr>
            <w:r w:rsidRPr="00313646">
              <w:rPr>
                <w:rFonts w:ascii="Verdana" w:hAnsi="Verdana"/>
                <w:sz w:val="22"/>
                <w:szCs w:val="22"/>
              </w:rPr>
              <w:t>207</w:t>
            </w:r>
          </w:p>
        </w:tc>
        <w:tc>
          <w:tcPr>
            <w:tcW w:w="2126" w:type="dxa"/>
          </w:tcPr>
          <w:p w:rsidR="00313646" w:rsidRPr="00313646" w:rsidRDefault="00313646" w:rsidP="00342B17">
            <w:pPr>
              <w:jc w:val="right"/>
              <w:rPr>
                <w:rFonts w:ascii="Verdana" w:hAnsi="Verdana"/>
                <w:sz w:val="22"/>
                <w:szCs w:val="22"/>
              </w:rPr>
            </w:pPr>
            <w:r w:rsidRPr="00313646">
              <w:rPr>
                <w:rFonts w:ascii="Verdana" w:eastAsia="Times New Roman" w:hAnsi="Verdana" w:cs="Arial"/>
                <w:color w:val="000000"/>
                <w:sz w:val="22"/>
                <w:szCs w:val="22"/>
                <w:lang w:eastAsia="en-GB"/>
              </w:rPr>
              <w:t>- 4</w:t>
            </w:r>
          </w:p>
        </w:tc>
        <w:tc>
          <w:tcPr>
            <w:tcW w:w="2188" w:type="dxa"/>
          </w:tcPr>
          <w:p w:rsidR="00313646" w:rsidRPr="00313646" w:rsidRDefault="00313646" w:rsidP="00342B17">
            <w:pPr>
              <w:jc w:val="right"/>
              <w:rPr>
                <w:rFonts w:ascii="Verdana" w:hAnsi="Verdana"/>
                <w:sz w:val="22"/>
                <w:szCs w:val="22"/>
              </w:rPr>
            </w:pPr>
            <w:r w:rsidRPr="00313646">
              <w:rPr>
                <w:rFonts w:ascii="Verdana" w:hAnsi="Verdana"/>
                <w:sz w:val="22"/>
                <w:szCs w:val="22"/>
              </w:rPr>
              <w:t>203</w:t>
            </w:r>
          </w:p>
        </w:tc>
      </w:tr>
      <w:tr w:rsidR="00313646" w:rsidRPr="00E446A8" w:rsidTr="00342B17">
        <w:tc>
          <w:tcPr>
            <w:tcW w:w="2802" w:type="dxa"/>
          </w:tcPr>
          <w:p w:rsidR="00313646" w:rsidRPr="00E446A8" w:rsidRDefault="00313646" w:rsidP="00342B17">
            <w:pPr>
              <w:rPr>
                <w:rFonts w:ascii="Verdana" w:hAnsi="Verdana"/>
                <w:b/>
                <w:sz w:val="22"/>
                <w:szCs w:val="22"/>
              </w:rPr>
            </w:pPr>
            <w:r w:rsidRPr="00E446A8">
              <w:rPr>
                <w:rFonts w:ascii="Verdana" w:hAnsi="Verdana"/>
                <w:b/>
                <w:sz w:val="22"/>
                <w:szCs w:val="22"/>
              </w:rPr>
              <w:t>TOTAL</w:t>
            </w:r>
          </w:p>
        </w:tc>
        <w:tc>
          <w:tcPr>
            <w:tcW w:w="2126" w:type="dxa"/>
          </w:tcPr>
          <w:p w:rsidR="00313646" w:rsidRPr="00313646" w:rsidRDefault="00313646" w:rsidP="00313646">
            <w:pPr>
              <w:jc w:val="right"/>
              <w:rPr>
                <w:rFonts w:ascii="Verdana" w:hAnsi="Verdana"/>
                <w:b/>
                <w:sz w:val="22"/>
                <w:szCs w:val="22"/>
              </w:rPr>
            </w:pPr>
            <w:r w:rsidRPr="00313646">
              <w:rPr>
                <w:rFonts w:ascii="Verdana" w:eastAsia="Times New Roman" w:hAnsi="Verdana" w:cs="Arial"/>
                <w:color w:val="000000"/>
                <w:sz w:val="22"/>
                <w:szCs w:val="22"/>
                <w:lang w:eastAsia="en-GB"/>
              </w:rPr>
              <w:t>1,193,665.50</w:t>
            </w:r>
          </w:p>
        </w:tc>
        <w:tc>
          <w:tcPr>
            <w:tcW w:w="2126" w:type="dxa"/>
          </w:tcPr>
          <w:p w:rsidR="00313646" w:rsidRPr="00313646" w:rsidRDefault="00313646" w:rsidP="00342B17">
            <w:pPr>
              <w:jc w:val="right"/>
              <w:rPr>
                <w:rFonts w:ascii="Verdana" w:hAnsi="Verdana"/>
                <w:b/>
                <w:sz w:val="22"/>
                <w:szCs w:val="22"/>
              </w:rPr>
            </w:pPr>
            <w:r w:rsidRPr="00313646">
              <w:rPr>
                <w:rFonts w:ascii="Verdana" w:eastAsia="Times New Roman" w:hAnsi="Verdana" w:cs="Arial"/>
                <w:color w:val="000000"/>
                <w:sz w:val="22"/>
                <w:szCs w:val="22"/>
                <w:lang w:eastAsia="en-GB"/>
              </w:rPr>
              <w:t>- 23,066.00</w:t>
            </w:r>
          </w:p>
        </w:tc>
        <w:tc>
          <w:tcPr>
            <w:tcW w:w="2188" w:type="dxa"/>
          </w:tcPr>
          <w:p w:rsidR="00313646" w:rsidRPr="00313646" w:rsidRDefault="00313646" w:rsidP="00342B17">
            <w:pPr>
              <w:jc w:val="right"/>
              <w:rPr>
                <w:rFonts w:ascii="Verdana" w:hAnsi="Verdana"/>
                <w:b/>
                <w:sz w:val="22"/>
                <w:szCs w:val="22"/>
              </w:rPr>
            </w:pPr>
            <w:r w:rsidRPr="00313646">
              <w:rPr>
                <w:rFonts w:ascii="Verdana" w:eastAsia="Times New Roman" w:hAnsi="Verdana" w:cs="Arial"/>
                <w:color w:val="000000"/>
                <w:sz w:val="22"/>
                <w:szCs w:val="22"/>
                <w:lang w:eastAsia="en-GB"/>
              </w:rPr>
              <w:t>1,170,599.50</w:t>
            </w:r>
          </w:p>
        </w:tc>
      </w:tr>
    </w:tbl>
    <w:p w:rsidR="00313646" w:rsidRDefault="00313646" w:rsidP="00313646">
      <w:pPr>
        <w:ind w:left="567" w:hanging="567"/>
        <w:jc w:val="both"/>
      </w:pPr>
    </w:p>
    <w:p w:rsidR="00313646" w:rsidRPr="00277983" w:rsidRDefault="00313646" w:rsidP="00313646">
      <w:pPr>
        <w:pStyle w:val="ListParagraph"/>
        <w:numPr>
          <w:ilvl w:val="0"/>
          <w:numId w:val="5"/>
        </w:numPr>
        <w:rPr>
          <w:rFonts w:ascii="Verdana" w:hAnsi="Verdana"/>
          <w:vanish/>
        </w:rPr>
      </w:pPr>
    </w:p>
    <w:p w:rsidR="00313646" w:rsidRPr="00277983" w:rsidRDefault="00313646" w:rsidP="00313646">
      <w:pPr>
        <w:pStyle w:val="ListParagraph"/>
        <w:numPr>
          <w:ilvl w:val="0"/>
          <w:numId w:val="5"/>
        </w:numPr>
        <w:rPr>
          <w:rFonts w:ascii="Verdana" w:hAnsi="Verdana"/>
          <w:vanish/>
        </w:rPr>
      </w:pPr>
    </w:p>
    <w:p w:rsidR="00313646" w:rsidRPr="00277983" w:rsidRDefault="00313646" w:rsidP="00313646">
      <w:pPr>
        <w:pStyle w:val="ListParagraph"/>
        <w:numPr>
          <w:ilvl w:val="1"/>
          <w:numId w:val="5"/>
        </w:numPr>
        <w:rPr>
          <w:rFonts w:ascii="Verdana" w:hAnsi="Verdana"/>
          <w:vanish/>
        </w:rPr>
      </w:pPr>
    </w:p>
    <w:p w:rsidR="00313646" w:rsidRPr="00277983" w:rsidRDefault="00313646" w:rsidP="00313646">
      <w:pPr>
        <w:pStyle w:val="ListParagraph"/>
        <w:numPr>
          <w:ilvl w:val="1"/>
          <w:numId w:val="5"/>
        </w:numPr>
        <w:rPr>
          <w:rFonts w:ascii="Verdana" w:hAnsi="Verdana"/>
          <w:vanish/>
        </w:rPr>
      </w:pPr>
    </w:p>
    <w:p w:rsidR="00313646" w:rsidRPr="00277983" w:rsidRDefault="00313646" w:rsidP="00313646">
      <w:pPr>
        <w:pStyle w:val="ListParagraph"/>
        <w:numPr>
          <w:ilvl w:val="1"/>
          <w:numId w:val="5"/>
        </w:numPr>
        <w:rPr>
          <w:rFonts w:ascii="Verdana" w:hAnsi="Verdana"/>
          <w:vanish/>
        </w:rPr>
      </w:pPr>
    </w:p>
    <w:p w:rsidR="00313646" w:rsidRPr="00277983" w:rsidRDefault="00313646" w:rsidP="00313646">
      <w:pPr>
        <w:pStyle w:val="ListParagraph"/>
        <w:numPr>
          <w:ilvl w:val="1"/>
          <w:numId w:val="5"/>
        </w:numPr>
        <w:rPr>
          <w:rFonts w:ascii="Verdana" w:hAnsi="Verdana"/>
          <w:vanish/>
        </w:rPr>
      </w:pPr>
    </w:p>
    <w:p w:rsidR="00313646" w:rsidRPr="00277983" w:rsidRDefault="00313646" w:rsidP="00096116">
      <w:pPr>
        <w:pStyle w:val="ListParagraph"/>
        <w:numPr>
          <w:ilvl w:val="1"/>
          <w:numId w:val="5"/>
        </w:numPr>
        <w:ind w:left="709" w:hanging="709"/>
        <w:jc w:val="both"/>
        <w:rPr>
          <w:rFonts w:ascii="Verdana" w:hAnsi="Verdana"/>
        </w:rPr>
      </w:pPr>
      <w:r w:rsidRPr="00277983">
        <w:rPr>
          <w:rFonts w:ascii="Verdana" w:hAnsi="Verdana"/>
        </w:rPr>
        <w:t xml:space="preserve">The fall in early </w:t>
      </w:r>
      <w:proofErr w:type="gramStart"/>
      <w:r w:rsidRPr="00277983">
        <w:rPr>
          <w:rFonts w:ascii="Verdana" w:hAnsi="Verdana"/>
        </w:rPr>
        <w:t>years</w:t>
      </w:r>
      <w:proofErr w:type="gramEnd"/>
      <w:r w:rsidRPr="00277983">
        <w:rPr>
          <w:rFonts w:ascii="Verdana" w:hAnsi="Verdana"/>
        </w:rPr>
        <w:t xml:space="preserve"> pupil premium is due to </w:t>
      </w:r>
      <w:proofErr w:type="spellStart"/>
      <w:r w:rsidRPr="00277983">
        <w:rPr>
          <w:rFonts w:ascii="Verdana" w:hAnsi="Verdana"/>
        </w:rPr>
        <w:t>DfE</w:t>
      </w:r>
      <w:proofErr w:type="spellEnd"/>
      <w:r w:rsidRPr="00277983">
        <w:rPr>
          <w:rFonts w:ascii="Verdana" w:hAnsi="Verdana"/>
        </w:rPr>
        <w:t xml:space="preserve"> moving from funding on an estimate to using deprivation actual from the early years and schools census’.</w:t>
      </w:r>
    </w:p>
    <w:p w:rsidR="00313646" w:rsidRPr="00277983" w:rsidRDefault="00313646" w:rsidP="00096116">
      <w:pPr>
        <w:ind w:left="709" w:hanging="709"/>
        <w:jc w:val="both"/>
        <w:rPr>
          <w:rFonts w:ascii="Verdana" w:hAnsi="Verdana"/>
          <w:b/>
        </w:rPr>
      </w:pPr>
    </w:p>
    <w:p w:rsidR="00313646" w:rsidRPr="00277983" w:rsidRDefault="00313646" w:rsidP="00096116">
      <w:pPr>
        <w:pStyle w:val="ListParagraph"/>
        <w:ind w:left="709" w:hanging="709"/>
        <w:jc w:val="both"/>
        <w:rPr>
          <w:rFonts w:ascii="Verdana" w:hAnsi="Verdana"/>
        </w:rPr>
      </w:pPr>
    </w:p>
    <w:p w:rsidR="00313646" w:rsidRPr="00277983" w:rsidRDefault="00313646" w:rsidP="00096116">
      <w:pPr>
        <w:pStyle w:val="ListParagraph"/>
        <w:numPr>
          <w:ilvl w:val="0"/>
          <w:numId w:val="5"/>
        </w:numPr>
        <w:ind w:left="709" w:hanging="709"/>
        <w:rPr>
          <w:rFonts w:ascii="Verdana" w:hAnsi="Verdana"/>
          <w:b/>
        </w:rPr>
      </w:pPr>
      <w:r w:rsidRPr="00277983">
        <w:rPr>
          <w:rFonts w:ascii="Verdana" w:hAnsi="Verdana"/>
          <w:b/>
        </w:rPr>
        <w:t>DSG BUDGETS AND BUDGET MONITORING</w:t>
      </w:r>
    </w:p>
    <w:p w:rsidR="00595769" w:rsidRPr="00277983" w:rsidRDefault="00595769" w:rsidP="00096116">
      <w:pPr>
        <w:ind w:left="709" w:hanging="709"/>
        <w:jc w:val="both"/>
        <w:rPr>
          <w:rFonts w:ascii="Verdana" w:hAnsi="Verdana"/>
          <w:b/>
        </w:rPr>
      </w:pPr>
    </w:p>
    <w:p w:rsidR="00595769" w:rsidRPr="00277983" w:rsidRDefault="00595769" w:rsidP="00096116">
      <w:pPr>
        <w:pStyle w:val="ListParagraph"/>
        <w:numPr>
          <w:ilvl w:val="1"/>
          <w:numId w:val="5"/>
        </w:numPr>
        <w:ind w:left="709" w:hanging="709"/>
        <w:jc w:val="both"/>
        <w:rPr>
          <w:rFonts w:ascii="Verdana" w:hAnsi="Verdana"/>
        </w:rPr>
      </w:pPr>
      <w:r w:rsidRPr="00277983">
        <w:rPr>
          <w:rFonts w:ascii="Verdana" w:hAnsi="Verdana"/>
        </w:rPr>
        <w:t>Budgets have been adjusted for the change to early years funding, prior year adjustment and copyright licence deduction and therefore equal £</w:t>
      </w:r>
      <w:r>
        <w:rPr>
          <w:rFonts w:ascii="Verdana" w:hAnsi="Verdana"/>
        </w:rPr>
        <w:t>82</w:t>
      </w:r>
      <w:r w:rsidR="00A04401">
        <w:rPr>
          <w:rFonts w:ascii="Verdana" w:hAnsi="Verdana"/>
        </w:rPr>
        <w:t>,</w:t>
      </w:r>
      <w:r>
        <w:rPr>
          <w:rFonts w:ascii="Verdana" w:hAnsi="Verdana"/>
        </w:rPr>
        <w:t>929</w:t>
      </w:r>
      <w:r w:rsidR="00A04401">
        <w:rPr>
          <w:rFonts w:ascii="Verdana" w:hAnsi="Verdana"/>
        </w:rPr>
        <w:t>k</w:t>
      </w:r>
      <w:r w:rsidRPr="00277983">
        <w:rPr>
          <w:rFonts w:ascii="Verdana" w:hAnsi="Verdana"/>
        </w:rPr>
        <w:t>, the total income that will be received by the Royal Borough after adjustments.</w:t>
      </w:r>
    </w:p>
    <w:p w:rsidR="00595769" w:rsidRPr="00277983" w:rsidRDefault="00595769" w:rsidP="00096116">
      <w:pPr>
        <w:pStyle w:val="ListParagraph"/>
        <w:ind w:left="709" w:hanging="709"/>
        <w:jc w:val="both"/>
        <w:rPr>
          <w:rFonts w:ascii="Verdana" w:hAnsi="Verdana"/>
        </w:rPr>
      </w:pPr>
    </w:p>
    <w:p w:rsidR="00595769" w:rsidRPr="00277983" w:rsidRDefault="00595769" w:rsidP="00096116">
      <w:pPr>
        <w:pStyle w:val="ListParagraph"/>
        <w:numPr>
          <w:ilvl w:val="1"/>
          <w:numId w:val="5"/>
        </w:numPr>
        <w:ind w:left="709" w:hanging="709"/>
        <w:jc w:val="both"/>
        <w:rPr>
          <w:rFonts w:ascii="Verdana" w:hAnsi="Verdana"/>
        </w:rPr>
      </w:pPr>
      <w:r w:rsidRPr="00277983">
        <w:rPr>
          <w:rFonts w:ascii="Verdana" w:hAnsi="Verdana"/>
        </w:rPr>
        <w:t>The £</w:t>
      </w:r>
      <w:r>
        <w:rPr>
          <w:rFonts w:ascii="Verdana" w:hAnsi="Verdana"/>
        </w:rPr>
        <w:t>887</w:t>
      </w:r>
      <w:r w:rsidR="00A04401">
        <w:rPr>
          <w:rFonts w:ascii="Verdana" w:hAnsi="Verdana"/>
        </w:rPr>
        <w:t>k</w:t>
      </w:r>
      <w:r w:rsidRPr="00277983">
        <w:rPr>
          <w:rFonts w:ascii="Verdana" w:hAnsi="Verdana"/>
        </w:rPr>
        <w:t xml:space="preserve"> reduction in funding has been applied to the </w:t>
      </w:r>
      <w:r>
        <w:rPr>
          <w:rFonts w:ascii="Verdana" w:hAnsi="Verdana"/>
        </w:rPr>
        <w:t>e</w:t>
      </w:r>
      <w:r w:rsidRPr="00277983">
        <w:rPr>
          <w:rFonts w:ascii="Verdana" w:hAnsi="Verdana"/>
        </w:rPr>
        <w:t xml:space="preserve">arly </w:t>
      </w:r>
      <w:proofErr w:type="gramStart"/>
      <w:r>
        <w:rPr>
          <w:rFonts w:ascii="Verdana" w:hAnsi="Verdana"/>
        </w:rPr>
        <w:t>y</w:t>
      </w:r>
      <w:r w:rsidRPr="00277983">
        <w:rPr>
          <w:rFonts w:ascii="Verdana" w:hAnsi="Verdana"/>
        </w:rPr>
        <w:t>ears</w:t>
      </w:r>
      <w:proofErr w:type="gramEnd"/>
      <w:r w:rsidRPr="00277983">
        <w:rPr>
          <w:rFonts w:ascii="Verdana" w:hAnsi="Verdana"/>
        </w:rPr>
        <w:t xml:space="preserve"> budgets.</w:t>
      </w:r>
    </w:p>
    <w:p w:rsidR="00595769" w:rsidRPr="00277983" w:rsidRDefault="00595769" w:rsidP="00096116">
      <w:pPr>
        <w:pStyle w:val="ListParagraph"/>
        <w:ind w:left="709" w:hanging="709"/>
        <w:rPr>
          <w:rFonts w:ascii="Verdana" w:hAnsi="Verdana"/>
        </w:rPr>
      </w:pPr>
    </w:p>
    <w:p w:rsidR="00595769" w:rsidRPr="00277983" w:rsidRDefault="00595769" w:rsidP="00096116">
      <w:pPr>
        <w:pStyle w:val="ListParagraph"/>
        <w:numPr>
          <w:ilvl w:val="1"/>
          <w:numId w:val="5"/>
        </w:numPr>
        <w:ind w:left="709" w:hanging="709"/>
        <w:jc w:val="both"/>
        <w:rPr>
          <w:rFonts w:ascii="Verdana" w:hAnsi="Verdana"/>
        </w:rPr>
      </w:pPr>
      <w:r w:rsidRPr="00277983">
        <w:rPr>
          <w:rFonts w:ascii="Verdana" w:hAnsi="Verdana"/>
        </w:rPr>
        <w:t xml:space="preserve">The current projected DSG Out-Turn is an </w:t>
      </w:r>
      <w:r w:rsidR="00325310">
        <w:rPr>
          <w:rFonts w:ascii="Verdana" w:hAnsi="Verdana"/>
        </w:rPr>
        <w:t>overspend of £</w:t>
      </w:r>
      <w:r w:rsidR="00CA0157">
        <w:rPr>
          <w:rFonts w:ascii="Verdana" w:hAnsi="Verdana"/>
        </w:rPr>
        <w:t>1,000</w:t>
      </w:r>
      <w:r w:rsidR="00A04401">
        <w:rPr>
          <w:rFonts w:ascii="Verdana" w:hAnsi="Verdana"/>
        </w:rPr>
        <w:t>k</w:t>
      </w:r>
      <w:r w:rsidRPr="00595769">
        <w:rPr>
          <w:rFonts w:ascii="Verdana" w:hAnsi="Verdana"/>
        </w:rPr>
        <w:t>.</w:t>
      </w:r>
    </w:p>
    <w:p w:rsidR="00595769" w:rsidRPr="00277983" w:rsidRDefault="00595769" w:rsidP="00096116">
      <w:pPr>
        <w:pStyle w:val="ListParagraph"/>
        <w:ind w:left="709" w:hanging="709"/>
        <w:rPr>
          <w:rFonts w:ascii="Verdana" w:hAnsi="Verdana"/>
        </w:rPr>
      </w:pPr>
    </w:p>
    <w:p w:rsidR="00096116" w:rsidRDefault="00595769" w:rsidP="00096116">
      <w:pPr>
        <w:pStyle w:val="ListParagraph"/>
        <w:numPr>
          <w:ilvl w:val="1"/>
          <w:numId w:val="5"/>
        </w:numPr>
        <w:ind w:left="709" w:hanging="709"/>
        <w:jc w:val="both"/>
        <w:rPr>
          <w:rFonts w:ascii="Verdana" w:hAnsi="Verdana"/>
        </w:rPr>
      </w:pPr>
      <w:r w:rsidRPr="00096116">
        <w:rPr>
          <w:rFonts w:ascii="Verdana" w:hAnsi="Verdana"/>
        </w:rPr>
        <w:t>The major variances are as follows –</w:t>
      </w:r>
      <w:r w:rsidR="00096116" w:rsidRPr="00096116">
        <w:rPr>
          <w:rFonts w:ascii="Verdana" w:hAnsi="Verdana"/>
        </w:rPr>
        <w:t xml:space="preserve"> </w:t>
      </w:r>
    </w:p>
    <w:p w:rsidR="00096116" w:rsidRPr="00096116" w:rsidRDefault="00096116" w:rsidP="00096116">
      <w:pPr>
        <w:pStyle w:val="ListParagraph"/>
        <w:rPr>
          <w:rFonts w:ascii="Verdana" w:hAnsi="Verdana"/>
          <w:b/>
        </w:rPr>
      </w:pPr>
    </w:p>
    <w:p w:rsidR="00096116" w:rsidRPr="00096116" w:rsidRDefault="00595769" w:rsidP="00096116">
      <w:pPr>
        <w:pStyle w:val="ListParagraph"/>
        <w:ind w:left="709"/>
        <w:jc w:val="both"/>
        <w:rPr>
          <w:rFonts w:ascii="Verdana" w:hAnsi="Verdana"/>
        </w:rPr>
      </w:pPr>
      <w:r w:rsidRPr="00096116">
        <w:rPr>
          <w:rFonts w:ascii="Verdana" w:hAnsi="Verdana"/>
          <w:b/>
        </w:rPr>
        <w:t>Early Years</w:t>
      </w:r>
      <w:r w:rsidR="00096116" w:rsidRPr="00096116">
        <w:rPr>
          <w:rFonts w:ascii="Verdana" w:hAnsi="Verdana"/>
          <w:b/>
        </w:rPr>
        <w:t xml:space="preserve"> </w:t>
      </w:r>
    </w:p>
    <w:p w:rsidR="00096116" w:rsidRPr="00096116" w:rsidRDefault="00096116" w:rsidP="00096116">
      <w:pPr>
        <w:pStyle w:val="ListParagraph"/>
        <w:rPr>
          <w:rFonts w:ascii="Verdana" w:hAnsi="Verdana"/>
        </w:rPr>
      </w:pPr>
    </w:p>
    <w:p w:rsidR="00CA0157" w:rsidRDefault="00A04401" w:rsidP="001E27DC">
      <w:pPr>
        <w:pStyle w:val="ListParagraph"/>
        <w:numPr>
          <w:ilvl w:val="1"/>
          <w:numId w:val="5"/>
        </w:numPr>
        <w:ind w:left="709" w:hanging="709"/>
        <w:jc w:val="both"/>
        <w:rPr>
          <w:rFonts w:ascii="Verdana" w:hAnsi="Verdana"/>
        </w:rPr>
      </w:pPr>
      <w:r w:rsidRPr="00CA0157">
        <w:rPr>
          <w:rFonts w:ascii="Verdana" w:hAnsi="Verdana"/>
        </w:rPr>
        <w:t>There is a large overspend of £</w:t>
      </w:r>
      <w:r w:rsidR="00CA0157" w:rsidRPr="00CA0157">
        <w:rPr>
          <w:rFonts w:ascii="Verdana" w:hAnsi="Verdana"/>
        </w:rPr>
        <w:t>1,657</w:t>
      </w:r>
      <w:r w:rsidRPr="00CA0157">
        <w:rPr>
          <w:rFonts w:ascii="Verdana" w:hAnsi="Verdana"/>
        </w:rPr>
        <w:t>k projected in on early years.</w:t>
      </w:r>
      <w:r w:rsidR="00844FAA">
        <w:rPr>
          <w:rFonts w:ascii="Verdana" w:hAnsi="Verdana"/>
        </w:rPr>
        <w:t xml:space="preserve">  While this is formed of a number of variances the largest is the £1,935k overspend shown against the 3 and </w:t>
      </w:r>
      <w:proofErr w:type="gramStart"/>
      <w:r w:rsidR="00844FAA">
        <w:rPr>
          <w:rFonts w:ascii="Verdana" w:hAnsi="Verdana"/>
        </w:rPr>
        <w:t>4 year old</w:t>
      </w:r>
      <w:proofErr w:type="gramEnd"/>
      <w:r w:rsidR="00844FAA">
        <w:rPr>
          <w:rFonts w:ascii="Verdana" w:hAnsi="Verdana"/>
        </w:rPr>
        <w:t xml:space="preserve"> formula budget.</w:t>
      </w:r>
    </w:p>
    <w:p w:rsidR="00CA0157" w:rsidRDefault="00CA0157" w:rsidP="00CA0157">
      <w:pPr>
        <w:pStyle w:val="ListParagraph"/>
        <w:ind w:left="567"/>
        <w:jc w:val="both"/>
        <w:rPr>
          <w:rFonts w:ascii="Verdana" w:hAnsi="Verdana"/>
        </w:rPr>
      </w:pPr>
    </w:p>
    <w:p w:rsidR="001E27DC" w:rsidRPr="001E27DC" w:rsidRDefault="00CA0157" w:rsidP="00CA0157">
      <w:pPr>
        <w:pStyle w:val="ListParagraph"/>
        <w:numPr>
          <w:ilvl w:val="1"/>
          <w:numId w:val="5"/>
        </w:numPr>
        <w:ind w:left="709" w:hanging="709"/>
        <w:jc w:val="both"/>
        <w:rPr>
          <w:rFonts w:ascii="Verdana" w:hAnsi="Verdana"/>
        </w:rPr>
      </w:pPr>
      <w:r w:rsidRPr="001E27DC">
        <w:rPr>
          <w:rFonts w:ascii="Verdana" w:hAnsi="Verdana"/>
        </w:rPr>
        <w:t xml:space="preserve">During 2015/2016 Westminster had an overspend on the 3 and </w:t>
      </w:r>
      <w:proofErr w:type="gramStart"/>
      <w:r w:rsidRPr="001E27DC">
        <w:rPr>
          <w:rFonts w:ascii="Verdana" w:hAnsi="Verdana"/>
        </w:rPr>
        <w:t>4 year old</w:t>
      </w:r>
      <w:proofErr w:type="gramEnd"/>
      <w:r w:rsidRPr="001E27DC">
        <w:rPr>
          <w:rFonts w:ascii="Verdana" w:hAnsi="Verdana"/>
        </w:rPr>
        <w:t xml:space="preserve"> formula budget of £1,075k</w:t>
      </w:r>
      <w:r w:rsidR="00B25024">
        <w:rPr>
          <w:rFonts w:ascii="Verdana" w:hAnsi="Verdana"/>
        </w:rPr>
        <w:t xml:space="preserve"> largely due to the costs associated with full time places</w:t>
      </w:r>
      <w:r w:rsidRPr="001E27DC">
        <w:rPr>
          <w:rFonts w:ascii="Verdana" w:hAnsi="Verdana"/>
        </w:rPr>
        <w:t>, this has increased to £1,935k in 2016/2017 (an increase of £860k).</w:t>
      </w:r>
    </w:p>
    <w:p w:rsidR="001E27DC" w:rsidRPr="001E27DC" w:rsidRDefault="001E27DC" w:rsidP="001E27DC">
      <w:pPr>
        <w:pStyle w:val="ListParagraph"/>
        <w:rPr>
          <w:rFonts w:ascii="Verdana" w:hAnsi="Verdana"/>
        </w:rPr>
      </w:pPr>
    </w:p>
    <w:p w:rsidR="00C632A5" w:rsidRPr="00CA0157" w:rsidRDefault="00CA0157" w:rsidP="00CA0157">
      <w:pPr>
        <w:pStyle w:val="ListParagraph"/>
        <w:numPr>
          <w:ilvl w:val="1"/>
          <w:numId w:val="5"/>
        </w:numPr>
        <w:ind w:left="709" w:hanging="709"/>
        <w:jc w:val="both"/>
        <w:rPr>
          <w:rFonts w:ascii="Verdana" w:hAnsi="Verdana"/>
        </w:rPr>
      </w:pPr>
      <w:r>
        <w:rPr>
          <w:rFonts w:ascii="Verdana" w:hAnsi="Verdana"/>
        </w:rPr>
        <w:t xml:space="preserve">This </w:t>
      </w:r>
      <w:r w:rsidR="00B25024">
        <w:rPr>
          <w:rFonts w:ascii="Verdana" w:hAnsi="Verdana"/>
        </w:rPr>
        <w:t xml:space="preserve">increase </w:t>
      </w:r>
      <w:r>
        <w:rPr>
          <w:rFonts w:ascii="Verdana" w:hAnsi="Verdana"/>
        </w:rPr>
        <w:t>has two main causes, firstl</w:t>
      </w:r>
      <w:r w:rsidRPr="001E27DC">
        <w:rPr>
          <w:rFonts w:ascii="Verdana" w:hAnsi="Verdana"/>
        </w:rPr>
        <w:t xml:space="preserve">y the </w:t>
      </w:r>
      <w:proofErr w:type="spellStart"/>
      <w:r w:rsidRPr="001E27DC">
        <w:rPr>
          <w:rFonts w:ascii="Verdana" w:hAnsi="Verdana"/>
        </w:rPr>
        <w:t>DfE</w:t>
      </w:r>
      <w:proofErr w:type="spellEnd"/>
      <w:r w:rsidRPr="001E27DC">
        <w:rPr>
          <w:rFonts w:ascii="Verdana" w:hAnsi="Verdana"/>
        </w:rPr>
        <w:t xml:space="preserve"> have clawed back £</w:t>
      </w:r>
      <w:r w:rsidR="00325310" w:rsidRPr="001E27DC">
        <w:rPr>
          <w:rFonts w:ascii="Verdana" w:hAnsi="Verdana"/>
        </w:rPr>
        <w:t>400</w:t>
      </w:r>
      <w:r w:rsidRPr="001E27DC">
        <w:rPr>
          <w:rFonts w:ascii="Verdana" w:hAnsi="Verdana"/>
        </w:rPr>
        <w:t xml:space="preserve">k of DSG </w:t>
      </w:r>
      <w:r w:rsidR="00184FCA" w:rsidRPr="001E27DC">
        <w:rPr>
          <w:rFonts w:ascii="Verdana" w:hAnsi="Verdana"/>
        </w:rPr>
        <w:t>relating</w:t>
      </w:r>
      <w:r w:rsidR="00DA53E1" w:rsidRPr="001E27DC">
        <w:rPr>
          <w:rFonts w:ascii="Verdana" w:hAnsi="Verdana"/>
        </w:rPr>
        <w:t xml:space="preserve"> to the </w:t>
      </w:r>
      <w:r w:rsidRPr="001E27DC">
        <w:rPr>
          <w:rFonts w:ascii="Verdana" w:hAnsi="Verdana"/>
        </w:rPr>
        <w:t>2015/2016</w:t>
      </w:r>
      <w:r w:rsidR="001E27DC">
        <w:rPr>
          <w:rFonts w:ascii="Verdana" w:hAnsi="Verdana"/>
        </w:rPr>
        <w:t xml:space="preserve"> as their pupil estimates were </w:t>
      </w:r>
      <w:r w:rsidR="001E27DC">
        <w:rPr>
          <w:rFonts w:ascii="Verdana" w:hAnsi="Verdana"/>
        </w:rPr>
        <w:lastRenderedPageBreak/>
        <w:t>higher than recorded on the final</w:t>
      </w:r>
      <w:r w:rsidR="00B25024">
        <w:rPr>
          <w:rFonts w:ascii="Verdana" w:hAnsi="Verdana"/>
        </w:rPr>
        <w:t xml:space="preserve"> January 2016</w:t>
      </w:r>
      <w:r w:rsidR="001E27DC">
        <w:rPr>
          <w:rFonts w:ascii="Verdana" w:hAnsi="Verdana"/>
        </w:rPr>
        <w:t xml:space="preserve"> census</w:t>
      </w:r>
      <w:r w:rsidR="00A110FC" w:rsidRPr="001E27DC">
        <w:rPr>
          <w:rFonts w:ascii="Verdana" w:hAnsi="Verdana"/>
        </w:rPr>
        <w:t>.</w:t>
      </w:r>
      <w:r w:rsidR="001E27DC" w:rsidRPr="001E27DC">
        <w:rPr>
          <w:rFonts w:ascii="Verdana" w:hAnsi="Verdana"/>
        </w:rPr>
        <w:t xml:space="preserve">  Secondly o</w:t>
      </w:r>
      <w:r w:rsidR="00A110FC" w:rsidRPr="001E27DC">
        <w:rPr>
          <w:rFonts w:ascii="Verdana" w:hAnsi="Verdana"/>
        </w:rPr>
        <w:t>ur latest trend analysis suggests that we can expect to have 1,5</w:t>
      </w:r>
      <w:r w:rsidR="001E27DC" w:rsidRPr="001E27DC">
        <w:rPr>
          <w:rFonts w:ascii="Verdana" w:hAnsi="Verdana"/>
        </w:rPr>
        <w:t>4</w:t>
      </w:r>
      <w:r w:rsidR="00A110FC" w:rsidRPr="001E27DC">
        <w:rPr>
          <w:rFonts w:ascii="Verdana" w:hAnsi="Verdana"/>
        </w:rPr>
        <w:t xml:space="preserve">2 FTE equivalent 3 and </w:t>
      </w:r>
      <w:proofErr w:type="gramStart"/>
      <w:r w:rsidR="00A110FC" w:rsidRPr="001E27DC">
        <w:rPr>
          <w:rFonts w:ascii="Verdana" w:hAnsi="Verdana"/>
        </w:rPr>
        <w:t>4 year old</w:t>
      </w:r>
      <w:proofErr w:type="gramEnd"/>
      <w:r w:rsidR="00A110FC" w:rsidRPr="001E27DC">
        <w:rPr>
          <w:rFonts w:ascii="Verdana" w:hAnsi="Verdana"/>
        </w:rPr>
        <w:t xml:space="preserve"> pupils on the January 2017 census resulting in the current DSG information under reporting the Westm</w:t>
      </w:r>
      <w:r w:rsidR="00B25024">
        <w:rPr>
          <w:rFonts w:ascii="Verdana" w:hAnsi="Verdana"/>
        </w:rPr>
        <w:t>inster 3 and 4 year old funding</w:t>
      </w:r>
      <w:r w:rsidR="00184FCA" w:rsidRPr="001E27DC">
        <w:rPr>
          <w:rFonts w:ascii="Verdana" w:hAnsi="Verdana"/>
        </w:rPr>
        <w:t xml:space="preserve"> by around £</w:t>
      </w:r>
      <w:r w:rsidR="00325310" w:rsidRPr="001E27DC">
        <w:rPr>
          <w:rFonts w:ascii="Verdana" w:hAnsi="Verdana"/>
        </w:rPr>
        <w:t>388</w:t>
      </w:r>
      <w:r w:rsidR="00B25024">
        <w:rPr>
          <w:rFonts w:ascii="Verdana" w:hAnsi="Verdana"/>
        </w:rPr>
        <w:t>k</w:t>
      </w:r>
      <w:r w:rsidR="00E268C8" w:rsidRPr="001E27DC">
        <w:rPr>
          <w:rFonts w:ascii="Verdana" w:hAnsi="Verdana"/>
        </w:rPr>
        <w:t>.</w:t>
      </w:r>
      <w:r w:rsidR="00184FCA" w:rsidRPr="001E27DC">
        <w:rPr>
          <w:rFonts w:ascii="Verdana" w:hAnsi="Verdana"/>
        </w:rPr>
        <w:t xml:space="preserve"> </w:t>
      </w:r>
    </w:p>
    <w:p w:rsidR="00342B17" w:rsidRPr="003F5467" w:rsidRDefault="00034CDC" w:rsidP="00DA53E1">
      <w:pPr>
        <w:ind w:left="567" w:hanging="567"/>
        <w:jc w:val="both"/>
        <w:rPr>
          <w:rFonts w:ascii="Verdana" w:hAnsi="Verdana"/>
        </w:rPr>
      </w:pPr>
      <w:r w:rsidRPr="003F5467">
        <w:rPr>
          <w:rFonts w:ascii="Verdana" w:hAnsi="Verdana"/>
        </w:rPr>
        <w:tab/>
      </w:r>
    </w:p>
    <w:p w:rsidR="003F5467" w:rsidRDefault="003F5467" w:rsidP="00096116">
      <w:pPr>
        <w:ind w:left="709" w:hanging="709"/>
        <w:rPr>
          <w:rFonts w:ascii="Verdana" w:hAnsi="Verdana"/>
          <w:b/>
        </w:rPr>
      </w:pPr>
      <w:r w:rsidRPr="003F5467">
        <w:rPr>
          <w:rFonts w:ascii="Verdana" w:hAnsi="Verdana"/>
          <w:b/>
        </w:rPr>
        <w:tab/>
        <w:t>Schools Block</w:t>
      </w:r>
    </w:p>
    <w:p w:rsidR="00096116" w:rsidRPr="003F5467" w:rsidRDefault="00096116" w:rsidP="00096116">
      <w:pPr>
        <w:ind w:left="709" w:hanging="709"/>
        <w:rPr>
          <w:rFonts w:ascii="Verdana" w:hAnsi="Verdana"/>
          <w:b/>
        </w:rPr>
      </w:pPr>
    </w:p>
    <w:p w:rsidR="00096116" w:rsidRDefault="003F5467" w:rsidP="00096116">
      <w:pPr>
        <w:pStyle w:val="ListParagraph"/>
        <w:numPr>
          <w:ilvl w:val="1"/>
          <w:numId w:val="5"/>
        </w:numPr>
        <w:ind w:left="709" w:hanging="709"/>
        <w:jc w:val="both"/>
        <w:rPr>
          <w:rFonts w:ascii="Verdana" w:hAnsi="Verdana"/>
        </w:rPr>
      </w:pPr>
      <w:r w:rsidRPr="00096116">
        <w:rPr>
          <w:rFonts w:ascii="Verdana" w:hAnsi="Verdana"/>
        </w:rPr>
        <w:tab/>
        <w:t>The net varian</w:t>
      </w:r>
      <w:r w:rsidR="00D477AE" w:rsidRPr="00096116">
        <w:rPr>
          <w:rFonts w:ascii="Verdana" w:hAnsi="Verdana"/>
        </w:rPr>
        <w:t xml:space="preserve">ce in the </w:t>
      </w:r>
      <w:proofErr w:type="gramStart"/>
      <w:r w:rsidR="00D477AE" w:rsidRPr="00096116">
        <w:rPr>
          <w:rFonts w:ascii="Verdana" w:hAnsi="Verdana"/>
        </w:rPr>
        <w:t>schools</w:t>
      </w:r>
      <w:proofErr w:type="gramEnd"/>
      <w:r w:rsidR="00D477AE" w:rsidRPr="00096116">
        <w:rPr>
          <w:rFonts w:ascii="Verdana" w:hAnsi="Verdana"/>
        </w:rPr>
        <w:t xml:space="preserve"> block is </w:t>
      </w:r>
      <w:r w:rsidR="007C3697">
        <w:rPr>
          <w:rFonts w:ascii="Verdana" w:hAnsi="Verdana"/>
        </w:rPr>
        <w:t>£</w:t>
      </w:r>
      <w:r w:rsidR="00D477AE" w:rsidRPr="00096116">
        <w:rPr>
          <w:rFonts w:ascii="Verdana" w:hAnsi="Verdana"/>
        </w:rPr>
        <w:t>110k, made up of a number of small items.</w:t>
      </w:r>
    </w:p>
    <w:p w:rsidR="00096116" w:rsidRDefault="00096116" w:rsidP="00096116">
      <w:pPr>
        <w:pStyle w:val="ListParagraph"/>
        <w:ind w:left="709"/>
        <w:jc w:val="both"/>
        <w:rPr>
          <w:rFonts w:ascii="Verdana" w:hAnsi="Verdana"/>
        </w:rPr>
      </w:pPr>
    </w:p>
    <w:p w:rsidR="00096116" w:rsidRDefault="00D477AE" w:rsidP="00096116">
      <w:pPr>
        <w:pStyle w:val="ListParagraph"/>
        <w:ind w:left="709"/>
        <w:jc w:val="both"/>
        <w:rPr>
          <w:rFonts w:ascii="Verdana" w:hAnsi="Verdana"/>
          <w:b/>
        </w:rPr>
      </w:pPr>
      <w:r w:rsidRPr="00096116">
        <w:rPr>
          <w:rFonts w:ascii="Verdana" w:hAnsi="Verdana"/>
          <w:b/>
        </w:rPr>
        <w:t>High Needs</w:t>
      </w:r>
      <w:r w:rsidR="003F5467" w:rsidRPr="00096116">
        <w:rPr>
          <w:rFonts w:ascii="Verdana" w:hAnsi="Verdana"/>
          <w:b/>
        </w:rPr>
        <w:t xml:space="preserve"> </w:t>
      </w:r>
      <w:r w:rsidRPr="00096116">
        <w:rPr>
          <w:rFonts w:ascii="Verdana" w:hAnsi="Verdana"/>
          <w:b/>
        </w:rPr>
        <w:t>Block</w:t>
      </w:r>
    </w:p>
    <w:p w:rsidR="00096116" w:rsidRPr="00096116" w:rsidRDefault="00096116" w:rsidP="00096116">
      <w:pPr>
        <w:pStyle w:val="ListParagraph"/>
        <w:ind w:left="709"/>
        <w:jc w:val="both"/>
        <w:rPr>
          <w:rFonts w:ascii="Verdana" w:hAnsi="Verdana"/>
        </w:rPr>
      </w:pPr>
    </w:p>
    <w:p w:rsidR="00096116" w:rsidRDefault="00325310" w:rsidP="00096116">
      <w:pPr>
        <w:pStyle w:val="ListParagraph"/>
        <w:numPr>
          <w:ilvl w:val="1"/>
          <w:numId w:val="5"/>
        </w:numPr>
        <w:ind w:left="709" w:hanging="709"/>
        <w:jc w:val="both"/>
        <w:rPr>
          <w:rFonts w:ascii="Verdana" w:hAnsi="Verdana"/>
        </w:rPr>
      </w:pPr>
      <w:r w:rsidRPr="00096116">
        <w:rPr>
          <w:rFonts w:ascii="Verdana" w:hAnsi="Verdana"/>
        </w:rPr>
        <w:t xml:space="preserve">There is a projected </w:t>
      </w:r>
      <w:r w:rsidR="007C3697">
        <w:rPr>
          <w:rFonts w:ascii="Verdana" w:hAnsi="Verdana"/>
        </w:rPr>
        <w:t>under spend</w:t>
      </w:r>
      <w:r w:rsidRPr="00096116">
        <w:rPr>
          <w:rFonts w:ascii="Verdana" w:hAnsi="Verdana"/>
        </w:rPr>
        <w:t xml:space="preserve"> on the high needs block of £</w:t>
      </w:r>
      <w:r w:rsidR="00DA53E1" w:rsidRPr="00096116">
        <w:rPr>
          <w:rFonts w:ascii="Verdana" w:hAnsi="Verdana"/>
        </w:rPr>
        <w:t>767</w:t>
      </w:r>
      <w:r w:rsidR="007C3697">
        <w:rPr>
          <w:rFonts w:ascii="Verdana" w:hAnsi="Verdana"/>
        </w:rPr>
        <w:t>k</w:t>
      </w:r>
      <w:r w:rsidRPr="00096116">
        <w:rPr>
          <w:rFonts w:ascii="Verdana" w:hAnsi="Verdana"/>
        </w:rPr>
        <w:t>, this is primarily due to t</w:t>
      </w:r>
      <w:r w:rsidR="00DA53E1" w:rsidRPr="00096116">
        <w:rPr>
          <w:rFonts w:ascii="Verdana" w:hAnsi="Verdana"/>
        </w:rPr>
        <w:t>hree</w:t>
      </w:r>
      <w:r w:rsidRPr="00096116">
        <w:rPr>
          <w:rFonts w:ascii="Verdana" w:hAnsi="Verdana"/>
        </w:rPr>
        <w:t xml:space="preserve"> items, a £</w:t>
      </w:r>
      <w:r w:rsidR="00DA53E1" w:rsidRPr="00096116">
        <w:rPr>
          <w:rFonts w:ascii="Verdana" w:hAnsi="Verdana"/>
        </w:rPr>
        <w:t>985</w:t>
      </w:r>
      <w:r w:rsidR="007C3697">
        <w:rPr>
          <w:rFonts w:ascii="Verdana" w:hAnsi="Verdana"/>
        </w:rPr>
        <w:t>k</w:t>
      </w:r>
      <w:r w:rsidRPr="00096116">
        <w:rPr>
          <w:rFonts w:ascii="Verdana" w:hAnsi="Verdana"/>
        </w:rPr>
        <w:t xml:space="preserve"> </w:t>
      </w:r>
      <w:r w:rsidR="007C3697">
        <w:rPr>
          <w:rFonts w:ascii="Verdana" w:hAnsi="Verdana"/>
        </w:rPr>
        <w:t>under spend</w:t>
      </w:r>
      <w:r w:rsidRPr="00096116">
        <w:rPr>
          <w:rFonts w:ascii="Verdana" w:hAnsi="Verdana"/>
        </w:rPr>
        <w:t xml:space="preserve"> on top-up: maintained and an overspend of £4</w:t>
      </w:r>
      <w:r w:rsidR="00DA53E1" w:rsidRPr="00096116">
        <w:rPr>
          <w:rFonts w:ascii="Verdana" w:hAnsi="Verdana"/>
        </w:rPr>
        <w:t>11</w:t>
      </w:r>
      <w:r w:rsidR="007C3697">
        <w:rPr>
          <w:rFonts w:ascii="Verdana" w:hAnsi="Verdana"/>
        </w:rPr>
        <w:t>k</w:t>
      </w:r>
      <w:r w:rsidRPr="00096116">
        <w:rPr>
          <w:rFonts w:ascii="Verdana" w:hAnsi="Verdana"/>
        </w:rPr>
        <w:t xml:space="preserve"> in alternative provision commissioning</w:t>
      </w:r>
      <w:r w:rsidR="00DA53E1" w:rsidRPr="00096116">
        <w:rPr>
          <w:rFonts w:ascii="Verdana" w:hAnsi="Verdana"/>
        </w:rPr>
        <w:t xml:space="preserve"> and an £154</w:t>
      </w:r>
      <w:r w:rsidR="007C3697">
        <w:rPr>
          <w:rFonts w:ascii="Verdana" w:hAnsi="Verdana"/>
        </w:rPr>
        <w:t>k</w:t>
      </w:r>
      <w:r w:rsidR="00DA53E1" w:rsidRPr="00096116">
        <w:rPr>
          <w:rFonts w:ascii="Verdana" w:hAnsi="Verdana"/>
        </w:rPr>
        <w:t xml:space="preserve"> </w:t>
      </w:r>
      <w:r w:rsidR="007C3697">
        <w:rPr>
          <w:rFonts w:ascii="Verdana" w:hAnsi="Verdana"/>
        </w:rPr>
        <w:t>under spend</w:t>
      </w:r>
      <w:r w:rsidR="00DA53E1" w:rsidRPr="00096116">
        <w:rPr>
          <w:rFonts w:ascii="Verdana" w:hAnsi="Verdana"/>
        </w:rPr>
        <w:t xml:space="preserve"> on belongings placements</w:t>
      </w:r>
      <w:r w:rsidRPr="00096116">
        <w:rPr>
          <w:rFonts w:ascii="Verdana" w:hAnsi="Verdana"/>
        </w:rPr>
        <w:t>.</w:t>
      </w:r>
    </w:p>
    <w:p w:rsidR="00096116" w:rsidRDefault="00096116" w:rsidP="00096116">
      <w:pPr>
        <w:pStyle w:val="ListParagraph"/>
        <w:ind w:left="709"/>
        <w:jc w:val="both"/>
        <w:rPr>
          <w:rFonts w:ascii="Verdana" w:hAnsi="Verdana"/>
        </w:rPr>
      </w:pPr>
    </w:p>
    <w:p w:rsidR="00096116" w:rsidRDefault="00325310" w:rsidP="00096116">
      <w:pPr>
        <w:pStyle w:val="ListParagraph"/>
        <w:numPr>
          <w:ilvl w:val="1"/>
          <w:numId w:val="5"/>
        </w:numPr>
        <w:ind w:left="709" w:hanging="709"/>
        <w:jc w:val="both"/>
        <w:rPr>
          <w:rFonts w:ascii="Verdana" w:hAnsi="Verdana"/>
        </w:rPr>
      </w:pPr>
      <w:r w:rsidRPr="00096116">
        <w:rPr>
          <w:rFonts w:ascii="Verdana" w:hAnsi="Verdana"/>
        </w:rPr>
        <w:t>There has been a reduction in year on year expenditure on top-up finding in the maintained sector of almost £</w:t>
      </w:r>
      <w:r w:rsidR="00DA53E1" w:rsidRPr="00096116">
        <w:rPr>
          <w:rFonts w:ascii="Verdana" w:hAnsi="Verdana"/>
        </w:rPr>
        <w:t>8</w:t>
      </w:r>
      <w:r w:rsidR="007C3697">
        <w:rPr>
          <w:rFonts w:ascii="Verdana" w:hAnsi="Verdana"/>
        </w:rPr>
        <w:t>00k</w:t>
      </w:r>
      <w:r w:rsidRPr="00096116">
        <w:rPr>
          <w:rFonts w:ascii="Verdana" w:hAnsi="Verdana"/>
        </w:rPr>
        <w:t xml:space="preserve">.  This has been caused by the reduction in historic </w:t>
      </w:r>
      <w:r w:rsidR="00DA53E1" w:rsidRPr="00096116">
        <w:rPr>
          <w:rFonts w:ascii="Verdana" w:hAnsi="Verdana"/>
        </w:rPr>
        <w:t>payments</w:t>
      </w:r>
      <w:r w:rsidRPr="00096116">
        <w:rPr>
          <w:rFonts w:ascii="Verdana" w:hAnsi="Verdana"/>
        </w:rPr>
        <w:t xml:space="preserve"> due to work done by the SEN team last year as well as the continued transfer of schools to the academy sector.</w:t>
      </w:r>
      <w:r w:rsidR="00DA53E1" w:rsidRPr="00096116">
        <w:rPr>
          <w:rFonts w:ascii="Verdana" w:hAnsi="Verdana"/>
        </w:rPr>
        <w:t xml:space="preserve">  Demand is also down in the independent school sector with a year on year cost reduction of around £4</w:t>
      </w:r>
      <w:r w:rsidR="007C3697">
        <w:rPr>
          <w:rFonts w:ascii="Verdana" w:hAnsi="Verdana"/>
        </w:rPr>
        <w:t>00k</w:t>
      </w:r>
      <w:r w:rsidR="00DA53E1" w:rsidRPr="00096116">
        <w:rPr>
          <w:rFonts w:ascii="Verdana" w:hAnsi="Verdana"/>
        </w:rPr>
        <w:t>.</w:t>
      </w:r>
    </w:p>
    <w:p w:rsidR="00096116" w:rsidRPr="00096116" w:rsidRDefault="00096116" w:rsidP="00096116">
      <w:pPr>
        <w:pStyle w:val="ListParagraph"/>
        <w:rPr>
          <w:rFonts w:ascii="Verdana" w:hAnsi="Verdana"/>
        </w:rPr>
      </w:pPr>
    </w:p>
    <w:p w:rsidR="00096116" w:rsidRDefault="00325310" w:rsidP="00096116">
      <w:pPr>
        <w:pStyle w:val="ListParagraph"/>
        <w:numPr>
          <w:ilvl w:val="1"/>
          <w:numId w:val="5"/>
        </w:numPr>
        <w:ind w:left="709" w:hanging="709"/>
        <w:jc w:val="both"/>
        <w:rPr>
          <w:rFonts w:ascii="Verdana" w:hAnsi="Verdana"/>
        </w:rPr>
      </w:pPr>
      <w:r w:rsidRPr="00096116">
        <w:rPr>
          <w:rFonts w:ascii="Verdana" w:hAnsi="Verdana"/>
        </w:rPr>
        <w:t>There is also an ongoing pressure</w:t>
      </w:r>
      <w:r w:rsidR="007C3697">
        <w:rPr>
          <w:rFonts w:ascii="Verdana" w:hAnsi="Verdana"/>
        </w:rPr>
        <w:t xml:space="preserve"> (£411k)</w:t>
      </w:r>
      <w:r w:rsidRPr="00096116">
        <w:rPr>
          <w:rFonts w:ascii="Verdana" w:hAnsi="Verdana"/>
        </w:rPr>
        <w:t xml:space="preserve"> on alternative provision commissioning due to increase demand for specialist support.  The SEN Team are currently examining methods by which we might commission this support more cost effectively.</w:t>
      </w:r>
    </w:p>
    <w:p w:rsidR="00096116" w:rsidRPr="00096116" w:rsidRDefault="00096116" w:rsidP="00096116">
      <w:pPr>
        <w:pStyle w:val="ListParagraph"/>
        <w:rPr>
          <w:rFonts w:ascii="Verdana" w:hAnsi="Verdana"/>
        </w:rPr>
      </w:pPr>
    </w:p>
    <w:p w:rsidR="00096116" w:rsidRDefault="003959BB" w:rsidP="007C3697">
      <w:pPr>
        <w:pStyle w:val="ListParagraph"/>
        <w:numPr>
          <w:ilvl w:val="1"/>
          <w:numId w:val="5"/>
        </w:numPr>
        <w:ind w:left="709" w:hanging="709"/>
        <w:jc w:val="both"/>
        <w:rPr>
          <w:rFonts w:ascii="Verdana" w:hAnsi="Verdana"/>
        </w:rPr>
      </w:pPr>
      <w:r w:rsidRPr="00096116">
        <w:rPr>
          <w:rFonts w:ascii="Verdana" w:hAnsi="Verdana"/>
        </w:rPr>
        <w:t>The reduction in Belongings Placements</w:t>
      </w:r>
      <w:r w:rsidR="007C3697">
        <w:rPr>
          <w:rFonts w:ascii="Verdana" w:hAnsi="Verdana"/>
        </w:rPr>
        <w:t xml:space="preserve"> costs (£154k)</w:t>
      </w:r>
      <w:r w:rsidRPr="00096116">
        <w:rPr>
          <w:rFonts w:ascii="Verdana" w:hAnsi="Verdana"/>
        </w:rPr>
        <w:t xml:space="preserve"> is due to the </w:t>
      </w:r>
      <w:r w:rsidR="007C3697">
        <w:rPr>
          <w:rFonts w:ascii="Verdana" w:hAnsi="Verdana"/>
        </w:rPr>
        <w:t>transfer</w:t>
      </w:r>
      <w:r w:rsidRPr="00096116">
        <w:rPr>
          <w:rFonts w:ascii="Verdana" w:hAnsi="Verdana"/>
        </w:rPr>
        <w:t xml:space="preserve"> of several pupils from high cost looked after children placements back into the school sector</w:t>
      </w:r>
      <w:r w:rsidR="00096116">
        <w:rPr>
          <w:rFonts w:ascii="Verdana" w:hAnsi="Verdana"/>
        </w:rPr>
        <w:t>.</w:t>
      </w:r>
    </w:p>
    <w:p w:rsidR="00096116" w:rsidRPr="00096116" w:rsidRDefault="00096116" w:rsidP="00096116">
      <w:pPr>
        <w:pStyle w:val="ListParagraph"/>
        <w:rPr>
          <w:rFonts w:ascii="Verdana" w:hAnsi="Verdana"/>
        </w:rPr>
      </w:pPr>
    </w:p>
    <w:p w:rsidR="007C3697" w:rsidRDefault="00096116" w:rsidP="00096116">
      <w:pPr>
        <w:pStyle w:val="ListParagraph"/>
        <w:numPr>
          <w:ilvl w:val="1"/>
          <w:numId w:val="5"/>
        </w:numPr>
        <w:ind w:left="709" w:hanging="709"/>
        <w:jc w:val="both"/>
        <w:rPr>
          <w:rFonts w:ascii="Verdana" w:hAnsi="Verdana"/>
        </w:rPr>
      </w:pPr>
      <w:r w:rsidRPr="00096116">
        <w:rPr>
          <w:rFonts w:ascii="Verdana" w:hAnsi="Verdana"/>
        </w:rPr>
        <w:t>Detailed budgets and current projections of the Out-Turn position can be found in Appendix A</w:t>
      </w:r>
      <w:r>
        <w:rPr>
          <w:rFonts w:ascii="Verdana" w:hAnsi="Verdana"/>
        </w:rPr>
        <w:t>.</w:t>
      </w:r>
    </w:p>
    <w:p w:rsidR="007C3697" w:rsidRDefault="007C3697">
      <w:pPr>
        <w:rPr>
          <w:rFonts w:ascii="Verdana" w:hAnsi="Verdana"/>
        </w:rPr>
      </w:pPr>
      <w:r>
        <w:rPr>
          <w:rFonts w:ascii="Verdana" w:hAnsi="Verdana"/>
        </w:rPr>
        <w:br w:type="page"/>
      </w:r>
    </w:p>
    <w:p w:rsidR="00342B17" w:rsidRPr="00277983" w:rsidRDefault="00342B17" w:rsidP="00096116">
      <w:pPr>
        <w:pStyle w:val="ListParagraph"/>
        <w:numPr>
          <w:ilvl w:val="0"/>
          <w:numId w:val="5"/>
        </w:numPr>
        <w:ind w:left="709" w:hanging="709"/>
        <w:rPr>
          <w:rFonts w:ascii="Verdana" w:hAnsi="Verdana"/>
          <w:b/>
        </w:rPr>
      </w:pPr>
      <w:r w:rsidRPr="00277983">
        <w:rPr>
          <w:rFonts w:ascii="Verdana" w:hAnsi="Verdana"/>
          <w:b/>
        </w:rPr>
        <w:lastRenderedPageBreak/>
        <w:t>RECOMMENDATIONS</w:t>
      </w:r>
    </w:p>
    <w:p w:rsidR="00342B17" w:rsidRPr="00277983" w:rsidRDefault="00342B17" w:rsidP="00096116">
      <w:pPr>
        <w:ind w:left="709" w:hanging="709"/>
        <w:rPr>
          <w:rFonts w:ascii="Verdana" w:hAnsi="Verdana"/>
          <w:b/>
        </w:rPr>
      </w:pPr>
    </w:p>
    <w:p w:rsidR="00342B17" w:rsidRPr="00277983" w:rsidRDefault="00342B17" w:rsidP="00096116">
      <w:pPr>
        <w:pStyle w:val="ListParagraph"/>
        <w:numPr>
          <w:ilvl w:val="1"/>
          <w:numId w:val="5"/>
        </w:numPr>
        <w:ind w:left="709" w:hanging="709"/>
        <w:rPr>
          <w:rFonts w:ascii="Verdana" w:hAnsi="Verdana"/>
        </w:rPr>
      </w:pPr>
      <w:r w:rsidRPr="00277983">
        <w:rPr>
          <w:rFonts w:ascii="Verdana" w:hAnsi="Verdana"/>
        </w:rPr>
        <w:t>Schools Forum are asked to note the DSG allocation and monitoring position.</w:t>
      </w:r>
    </w:p>
    <w:p w:rsidR="00342B17" w:rsidRPr="00277983" w:rsidRDefault="00342B17" w:rsidP="00096116">
      <w:pPr>
        <w:pStyle w:val="ListParagraph"/>
        <w:ind w:left="709" w:hanging="709"/>
        <w:rPr>
          <w:rFonts w:ascii="Verdana" w:hAnsi="Verdana"/>
        </w:rPr>
      </w:pPr>
    </w:p>
    <w:p w:rsidR="007C3697" w:rsidRPr="007C3697" w:rsidRDefault="00342B17" w:rsidP="007C3697">
      <w:pPr>
        <w:pStyle w:val="ListParagraph"/>
        <w:numPr>
          <w:ilvl w:val="1"/>
          <w:numId w:val="5"/>
        </w:numPr>
        <w:ind w:left="709" w:hanging="709"/>
        <w:rPr>
          <w:rFonts w:ascii="Verdana" w:hAnsi="Verdana"/>
        </w:rPr>
      </w:pPr>
      <w:r w:rsidRPr="007C3697">
        <w:rPr>
          <w:rFonts w:ascii="Verdana" w:hAnsi="Verdana"/>
        </w:rPr>
        <w:t>Schools Forum are asked to note that the projected carry forward will be £</w:t>
      </w:r>
      <w:r w:rsidR="00DA53E1" w:rsidRPr="007C3697">
        <w:rPr>
          <w:rFonts w:ascii="Verdana" w:hAnsi="Verdana"/>
        </w:rPr>
        <w:t>3</w:t>
      </w:r>
      <w:r w:rsidR="007C3697" w:rsidRPr="007C3697">
        <w:rPr>
          <w:rFonts w:ascii="Verdana" w:hAnsi="Verdana"/>
        </w:rPr>
        <w:t>,</w:t>
      </w:r>
      <w:r w:rsidR="00DA53E1" w:rsidRPr="007C3697">
        <w:rPr>
          <w:rFonts w:ascii="Verdana" w:hAnsi="Verdana"/>
        </w:rPr>
        <w:t>957</w:t>
      </w:r>
      <w:r w:rsidR="007C3697" w:rsidRPr="007C3697">
        <w:rPr>
          <w:rFonts w:ascii="Verdana" w:hAnsi="Verdana"/>
        </w:rPr>
        <w:t>k</w:t>
      </w:r>
      <w:r w:rsidRPr="007C3697">
        <w:rPr>
          <w:rFonts w:ascii="Verdana" w:hAnsi="Verdana"/>
        </w:rPr>
        <w:t>.</w:t>
      </w:r>
    </w:p>
    <w:p w:rsidR="00096116" w:rsidRDefault="00096116" w:rsidP="00342B17">
      <w:pPr>
        <w:pStyle w:val="ListParagraph"/>
        <w:ind w:left="0"/>
        <w:jc w:val="center"/>
        <w:rPr>
          <w:rFonts w:ascii="Verdana" w:hAnsi="Verdana"/>
          <w:b/>
        </w:rPr>
      </w:pPr>
    </w:p>
    <w:p w:rsidR="007C3697" w:rsidRDefault="007C3697" w:rsidP="00342B17">
      <w:pPr>
        <w:pStyle w:val="ListParagraph"/>
        <w:ind w:left="0"/>
        <w:jc w:val="center"/>
        <w:rPr>
          <w:rFonts w:ascii="Verdana" w:hAnsi="Verdana"/>
          <w:b/>
        </w:rPr>
      </w:pPr>
    </w:p>
    <w:p w:rsidR="00342B17" w:rsidRPr="00277983" w:rsidRDefault="00342B17" w:rsidP="00342B17">
      <w:pPr>
        <w:pStyle w:val="ListParagraph"/>
        <w:ind w:left="0"/>
        <w:jc w:val="center"/>
        <w:rPr>
          <w:rFonts w:ascii="Verdana" w:hAnsi="Verdana"/>
          <w:b/>
        </w:rPr>
      </w:pPr>
      <w:r w:rsidRPr="00277983">
        <w:rPr>
          <w:rFonts w:ascii="Verdana" w:hAnsi="Verdana"/>
          <w:b/>
        </w:rPr>
        <w:t>Andrew Tagg</w:t>
      </w:r>
    </w:p>
    <w:p w:rsidR="00342B17" w:rsidRPr="00277983" w:rsidRDefault="00342B17" w:rsidP="00342B17">
      <w:pPr>
        <w:pStyle w:val="ListParagraph"/>
        <w:ind w:left="0"/>
        <w:jc w:val="center"/>
        <w:rPr>
          <w:rFonts w:ascii="Verdana" w:hAnsi="Verdana"/>
          <w:b/>
        </w:rPr>
      </w:pPr>
      <w:r w:rsidRPr="00277983">
        <w:rPr>
          <w:rFonts w:ascii="Verdana" w:hAnsi="Verdana"/>
          <w:b/>
        </w:rPr>
        <w:t>Head of Resources</w:t>
      </w:r>
    </w:p>
    <w:p w:rsidR="00342B17" w:rsidRPr="00277983" w:rsidRDefault="00342B17" w:rsidP="00342B17">
      <w:pPr>
        <w:pStyle w:val="ListParagraph"/>
        <w:ind w:left="0"/>
        <w:jc w:val="center"/>
        <w:rPr>
          <w:rFonts w:ascii="Verdana" w:hAnsi="Verdana"/>
          <w:b/>
        </w:rPr>
      </w:pPr>
    </w:p>
    <w:p w:rsidR="00342B17" w:rsidRDefault="00342B17" w:rsidP="00342B17">
      <w:pPr>
        <w:pStyle w:val="ListParagraph"/>
        <w:ind w:left="0"/>
        <w:jc w:val="center"/>
        <w:rPr>
          <w:rFonts w:ascii="Verdana" w:hAnsi="Verdana"/>
          <w:b/>
        </w:rPr>
      </w:pPr>
      <w:r>
        <w:rPr>
          <w:rFonts w:ascii="Verdana" w:hAnsi="Verdana"/>
          <w:b/>
        </w:rPr>
        <w:t>Claire Chamberlain</w:t>
      </w:r>
    </w:p>
    <w:p w:rsidR="00342B17" w:rsidRDefault="00342B17" w:rsidP="00342B17">
      <w:pPr>
        <w:pStyle w:val="ListParagraph"/>
        <w:ind w:left="0"/>
        <w:jc w:val="center"/>
        <w:rPr>
          <w:rFonts w:ascii="Verdana" w:hAnsi="Verdana"/>
          <w:b/>
        </w:rPr>
      </w:pPr>
      <w:r>
        <w:rPr>
          <w:rFonts w:ascii="Verdana" w:hAnsi="Verdana"/>
          <w:b/>
        </w:rPr>
        <w:t>Tri-Borough Executive Director – Children’s Services</w:t>
      </w:r>
    </w:p>
    <w:p w:rsidR="00342B17" w:rsidRDefault="00342B17" w:rsidP="00342B17">
      <w:pPr>
        <w:pStyle w:val="ListParagraph"/>
        <w:ind w:left="0"/>
        <w:jc w:val="center"/>
        <w:rPr>
          <w:rFonts w:ascii="Verdana" w:hAnsi="Verdana"/>
          <w:b/>
        </w:rPr>
      </w:pPr>
    </w:p>
    <w:p w:rsidR="00342B17" w:rsidRPr="00651958" w:rsidRDefault="00342B17" w:rsidP="00342B17">
      <w:pPr>
        <w:pStyle w:val="ListParagraph"/>
        <w:ind w:left="0"/>
        <w:rPr>
          <w:rFonts w:ascii="Verdana" w:hAnsi="Verdana"/>
        </w:rPr>
      </w:pPr>
    </w:p>
    <w:p w:rsidR="00342B17" w:rsidRPr="00651958" w:rsidRDefault="00342B17" w:rsidP="00342B17">
      <w:pPr>
        <w:pStyle w:val="ListParagraph"/>
        <w:ind w:left="0"/>
        <w:rPr>
          <w:rFonts w:ascii="Verdana" w:hAnsi="Verdana"/>
          <w:b/>
        </w:rPr>
      </w:pPr>
      <w:r w:rsidRPr="00651958">
        <w:rPr>
          <w:rFonts w:ascii="Verdana" w:hAnsi="Verdana"/>
          <w:b/>
        </w:rPr>
        <w:t>Background Papers</w:t>
      </w:r>
    </w:p>
    <w:p w:rsidR="00342B17" w:rsidRPr="00651958" w:rsidRDefault="00342B17" w:rsidP="00342B17">
      <w:pPr>
        <w:pStyle w:val="ListParagraph"/>
        <w:numPr>
          <w:ilvl w:val="0"/>
          <w:numId w:val="7"/>
        </w:numPr>
        <w:rPr>
          <w:rFonts w:ascii="Verdana" w:hAnsi="Verdana"/>
        </w:rPr>
      </w:pPr>
      <w:proofErr w:type="spellStart"/>
      <w:r w:rsidRPr="00651958">
        <w:rPr>
          <w:rFonts w:ascii="Verdana" w:hAnsi="Verdana"/>
        </w:rPr>
        <w:t>DfE</w:t>
      </w:r>
      <w:proofErr w:type="spellEnd"/>
      <w:r w:rsidRPr="00651958">
        <w:rPr>
          <w:rFonts w:ascii="Verdana" w:hAnsi="Verdana"/>
        </w:rPr>
        <w:t xml:space="preserve"> website – DSG Allocations 2016/2017</w:t>
      </w:r>
    </w:p>
    <w:p w:rsidR="00342B17" w:rsidRDefault="00342B17" w:rsidP="008C7400">
      <w:pPr>
        <w:sectPr w:rsidR="00342B17" w:rsidSect="003219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tbl>
      <w:tblPr>
        <w:tblW w:w="8946" w:type="dxa"/>
        <w:tblInd w:w="93" w:type="dxa"/>
        <w:tblLook w:val="04A0" w:firstRow="1" w:lastRow="0" w:firstColumn="1" w:lastColumn="0" w:noHBand="0" w:noVBand="1"/>
      </w:tblPr>
      <w:tblGrid>
        <w:gridCol w:w="4693"/>
        <w:gridCol w:w="1418"/>
        <w:gridCol w:w="1417"/>
        <w:gridCol w:w="1418"/>
      </w:tblGrid>
      <w:tr w:rsidR="00233618" w:rsidRPr="00233618" w:rsidTr="00233618">
        <w:trPr>
          <w:trHeight w:val="495"/>
        </w:trPr>
        <w:tc>
          <w:tcPr>
            <w:tcW w:w="4693" w:type="dxa"/>
            <w:tcBorders>
              <w:top w:val="nil"/>
              <w:left w:val="nil"/>
              <w:bottom w:val="single" w:sz="8" w:space="0" w:color="auto"/>
              <w:right w:val="nil"/>
            </w:tcBorders>
            <w:shd w:val="clear" w:color="000000" w:fill="F2F2F2"/>
            <w:vAlign w:val="center"/>
            <w:hideMark/>
          </w:tcPr>
          <w:p w:rsidR="00233618" w:rsidRPr="00233618" w:rsidRDefault="00233618" w:rsidP="00233618">
            <w:pPr>
              <w:jc w:val="center"/>
              <w:rPr>
                <w:rFonts w:ascii="Verdana" w:eastAsia="Times New Roman" w:hAnsi="Verdana" w:cs="Arial"/>
                <w:b/>
                <w:bCs/>
                <w:sz w:val="20"/>
                <w:szCs w:val="20"/>
                <w:lang w:eastAsia="en-GB"/>
              </w:rPr>
            </w:pPr>
            <w:r w:rsidRPr="00233618">
              <w:rPr>
                <w:rFonts w:ascii="Verdana" w:eastAsia="Times New Roman" w:hAnsi="Verdana" w:cs="Arial"/>
                <w:b/>
                <w:bCs/>
                <w:sz w:val="20"/>
                <w:szCs w:val="20"/>
                <w:lang w:eastAsia="en-GB"/>
              </w:rPr>
              <w:lastRenderedPageBreak/>
              <w:t>Description</w:t>
            </w:r>
          </w:p>
        </w:tc>
        <w:tc>
          <w:tcPr>
            <w:tcW w:w="1418" w:type="dxa"/>
            <w:tcBorders>
              <w:top w:val="nil"/>
              <w:left w:val="nil"/>
              <w:bottom w:val="single" w:sz="8" w:space="0" w:color="auto"/>
              <w:right w:val="nil"/>
            </w:tcBorders>
            <w:shd w:val="clear" w:color="000000" w:fill="F2F2F2"/>
            <w:vAlign w:val="center"/>
            <w:hideMark/>
          </w:tcPr>
          <w:p w:rsidR="00233618" w:rsidRPr="00233618" w:rsidRDefault="00233618" w:rsidP="00233618">
            <w:pPr>
              <w:jc w:val="center"/>
              <w:rPr>
                <w:rFonts w:ascii="Verdana" w:eastAsia="Times New Roman" w:hAnsi="Verdana" w:cs="Arial"/>
                <w:b/>
                <w:bCs/>
                <w:sz w:val="20"/>
                <w:szCs w:val="20"/>
                <w:lang w:eastAsia="en-GB"/>
              </w:rPr>
            </w:pPr>
            <w:r w:rsidRPr="00233618">
              <w:rPr>
                <w:rFonts w:ascii="Verdana" w:eastAsia="Times New Roman" w:hAnsi="Verdana" w:cs="Arial"/>
                <w:b/>
                <w:bCs/>
                <w:sz w:val="20"/>
                <w:szCs w:val="20"/>
                <w:lang w:eastAsia="en-GB"/>
              </w:rPr>
              <w:t>Amended Budget</w:t>
            </w:r>
          </w:p>
        </w:tc>
        <w:tc>
          <w:tcPr>
            <w:tcW w:w="1417" w:type="dxa"/>
            <w:tcBorders>
              <w:top w:val="nil"/>
              <w:left w:val="nil"/>
              <w:bottom w:val="single" w:sz="8" w:space="0" w:color="auto"/>
              <w:right w:val="nil"/>
            </w:tcBorders>
            <w:shd w:val="clear" w:color="000000" w:fill="F2F2F2"/>
            <w:vAlign w:val="center"/>
            <w:hideMark/>
          </w:tcPr>
          <w:p w:rsidR="00233618" w:rsidRPr="00233618" w:rsidRDefault="00233618" w:rsidP="00233618">
            <w:pPr>
              <w:jc w:val="center"/>
              <w:rPr>
                <w:rFonts w:ascii="Verdana" w:eastAsia="Times New Roman" w:hAnsi="Verdana" w:cs="Arial"/>
                <w:b/>
                <w:bCs/>
                <w:sz w:val="20"/>
                <w:szCs w:val="20"/>
                <w:lang w:eastAsia="en-GB"/>
              </w:rPr>
            </w:pPr>
            <w:r w:rsidRPr="00233618">
              <w:rPr>
                <w:rFonts w:ascii="Verdana" w:eastAsia="Times New Roman" w:hAnsi="Verdana" w:cs="Arial"/>
                <w:b/>
                <w:bCs/>
                <w:sz w:val="20"/>
                <w:szCs w:val="20"/>
                <w:lang w:eastAsia="en-GB"/>
              </w:rPr>
              <w:t>Projected Actual (P6)</w:t>
            </w:r>
          </w:p>
        </w:tc>
        <w:tc>
          <w:tcPr>
            <w:tcW w:w="1418" w:type="dxa"/>
            <w:tcBorders>
              <w:top w:val="nil"/>
              <w:left w:val="nil"/>
              <w:bottom w:val="single" w:sz="8" w:space="0" w:color="auto"/>
              <w:right w:val="nil"/>
            </w:tcBorders>
            <w:shd w:val="clear" w:color="000000" w:fill="F2F2F2"/>
            <w:vAlign w:val="center"/>
            <w:hideMark/>
          </w:tcPr>
          <w:p w:rsidR="00233618" w:rsidRPr="00233618" w:rsidRDefault="00233618" w:rsidP="00233618">
            <w:pPr>
              <w:jc w:val="center"/>
              <w:rPr>
                <w:rFonts w:ascii="Verdana" w:eastAsia="Times New Roman" w:hAnsi="Verdana" w:cs="Arial"/>
                <w:b/>
                <w:bCs/>
                <w:sz w:val="20"/>
                <w:szCs w:val="20"/>
                <w:lang w:eastAsia="en-GB"/>
              </w:rPr>
            </w:pPr>
            <w:r w:rsidRPr="00233618">
              <w:rPr>
                <w:rFonts w:ascii="Verdana" w:eastAsia="Times New Roman" w:hAnsi="Verdana" w:cs="Arial"/>
                <w:b/>
                <w:bCs/>
                <w:sz w:val="20"/>
                <w:szCs w:val="20"/>
                <w:lang w:eastAsia="en-GB"/>
              </w:rPr>
              <w:t>Projected P6 Variance</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color w:val="000000"/>
                <w:sz w:val="20"/>
                <w:szCs w:val="20"/>
                <w:lang w:eastAsia="en-GB"/>
              </w:rPr>
            </w:pP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center"/>
              <w:rPr>
                <w:rFonts w:ascii="Verdana" w:eastAsia="Times New Roman" w:hAnsi="Verdana" w:cs="Arial"/>
                <w:i/>
                <w:iCs/>
                <w:color w:val="000000"/>
                <w:sz w:val="20"/>
                <w:szCs w:val="20"/>
                <w:lang w:eastAsia="en-GB"/>
              </w:rPr>
            </w:pPr>
            <w:r w:rsidRPr="00233618">
              <w:rPr>
                <w:rFonts w:ascii="Verdana" w:eastAsia="Times New Roman" w:hAnsi="Verdana" w:cs="Arial"/>
                <w:i/>
                <w:iCs/>
                <w:color w:val="000000"/>
                <w:sz w:val="20"/>
                <w:szCs w:val="20"/>
                <w:lang w:eastAsia="en-GB"/>
              </w:rPr>
              <w:t>£'000</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center"/>
              <w:rPr>
                <w:rFonts w:ascii="Verdana" w:eastAsia="Times New Roman" w:hAnsi="Verdana" w:cs="Arial"/>
                <w:i/>
                <w:iCs/>
                <w:color w:val="000000"/>
                <w:sz w:val="20"/>
                <w:szCs w:val="20"/>
                <w:lang w:eastAsia="en-GB"/>
              </w:rPr>
            </w:pPr>
            <w:r w:rsidRPr="00233618">
              <w:rPr>
                <w:rFonts w:ascii="Verdana" w:eastAsia="Times New Roman" w:hAnsi="Verdana" w:cs="Arial"/>
                <w:i/>
                <w:iCs/>
                <w:color w:val="000000"/>
                <w:sz w:val="20"/>
                <w:szCs w:val="20"/>
                <w:lang w:eastAsia="en-GB"/>
              </w:rPr>
              <w:t>£'000</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center"/>
              <w:rPr>
                <w:rFonts w:ascii="Verdana" w:eastAsia="Times New Roman" w:hAnsi="Verdana" w:cs="Arial"/>
                <w:i/>
                <w:iCs/>
                <w:color w:val="000000"/>
                <w:sz w:val="20"/>
                <w:szCs w:val="20"/>
                <w:lang w:eastAsia="en-GB"/>
              </w:rPr>
            </w:pPr>
            <w:r w:rsidRPr="00233618">
              <w:rPr>
                <w:rFonts w:ascii="Verdana" w:eastAsia="Times New Roman" w:hAnsi="Verdana" w:cs="Arial"/>
                <w:i/>
                <w:iCs/>
                <w:color w:val="000000"/>
                <w:sz w:val="20"/>
                <w:szCs w:val="20"/>
                <w:lang w:eastAsia="en-GB"/>
              </w:rPr>
              <w:t>£'000</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b/>
                <w:bCs/>
                <w:color w:val="000000"/>
                <w:sz w:val="20"/>
                <w:szCs w:val="20"/>
                <w:lang w:eastAsia="en-GB"/>
              </w:rPr>
            </w:pPr>
            <w:r w:rsidRPr="00233618">
              <w:rPr>
                <w:rFonts w:ascii="Verdana" w:eastAsia="Times New Roman" w:hAnsi="Verdana" w:cs="Arial"/>
                <w:b/>
                <w:bCs/>
                <w:color w:val="000000"/>
                <w:sz w:val="20"/>
                <w:szCs w:val="20"/>
                <w:lang w:eastAsia="en-GB"/>
              </w:rPr>
              <w:t>Early Years Block</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color w:val="000000"/>
                <w:sz w:val="20"/>
                <w:szCs w:val="20"/>
                <w:lang w:eastAsia="en-GB"/>
              </w:rPr>
            </w:pPr>
          </w:p>
        </w:tc>
        <w:tc>
          <w:tcPr>
            <w:tcW w:w="1417"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color w:val="000000"/>
                <w:sz w:val="20"/>
                <w:szCs w:val="20"/>
                <w:lang w:eastAsia="en-GB"/>
              </w:rPr>
            </w:pPr>
          </w:p>
        </w:tc>
        <w:tc>
          <w:tcPr>
            <w:tcW w:w="1418"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color w:val="000000"/>
                <w:sz w:val="20"/>
                <w:szCs w:val="20"/>
                <w:lang w:eastAsia="en-GB"/>
              </w:rPr>
            </w:pP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2 Year Old Offer</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1,171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946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FF0000"/>
                <w:sz w:val="20"/>
                <w:szCs w:val="20"/>
                <w:lang w:eastAsia="en-GB"/>
              </w:rPr>
              <w:t xml:space="preserve">-225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2YO Project</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0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36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36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Early Years Formula</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8,185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10,120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1,935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Early Years Pupil Premium</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109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124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15 </w:t>
            </w:r>
          </w:p>
        </w:tc>
      </w:tr>
      <w:tr w:rsidR="00233618" w:rsidRPr="00233618" w:rsidTr="00233618">
        <w:trPr>
          <w:trHeight w:val="165"/>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p>
        </w:tc>
        <w:tc>
          <w:tcPr>
            <w:tcW w:w="1418"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color w:val="000000"/>
                <w:sz w:val="20"/>
                <w:szCs w:val="20"/>
                <w:lang w:eastAsia="en-GB"/>
              </w:rPr>
            </w:pPr>
          </w:p>
        </w:tc>
        <w:tc>
          <w:tcPr>
            <w:tcW w:w="1417"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color w:val="000000"/>
                <w:sz w:val="20"/>
                <w:szCs w:val="20"/>
                <w:lang w:eastAsia="en-GB"/>
              </w:rPr>
            </w:pPr>
          </w:p>
        </w:tc>
        <w:tc>
          <w:tcPr>
            <w:tcW w:w="1418"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color w:val="000000"/>
                <w:sz w:val="20"/>
                <w:szCs w:val="20"/>
                <w:lang w:eastAsia="en-GB"/>
              </w:rPr>
            </w:pP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Children with Disabilities Provision</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41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41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0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Early Years Commissioners</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46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46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0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Early Help and Partnerships Team</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240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240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0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Early Years and Children´s Centres Team</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293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293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0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Early Years Provision</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266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162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FF0000"/>
                <w:sz w:val="20"/>
                <w:szCs w:val="20"/>
                <w:lang w:eastAsia="en-GB"/>
              </w:rPr>
              <w:t xml:space="preserve">-104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Children</w:t>
            </w:r>
            <w:r w:rsidR="00CA0157">
              <w:rPr>
                <w:rFonts w:ascii="Verdana" w:eastAsia="Times New Roman" w:hAnsi="Verdana" w:cs="Arial"/>
                <w:color w:val="000000"/>
                <w:sz w:val="20"/>
                <w:szCs w:val="20"/>
                <w:lang w:eastAsia="en-GB"/>
              </w:rPr>
              <w:t>’</w:t>
            </w:r>
            <w:r w:rsidRPr="00233618">
              <w:rPr>
                <w:rFonts w:ascii="Verdana" w:eastAsia="Times New Roman" w:hAnsi="Verdana" w:cs="Arial"/>
                <w:color w:val="000000"/>
                <w:sz w:val="20"/>
                <w:szCs w:val="20"/>
                <w:lang w:eastAsia="en-GB"/>
              </w:rPr>
              <w:t>s Centre and Family Support</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48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48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0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Children In Need Provision</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622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622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0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color w:val="000000"/>
                <w:sz w:val="20"/>
                <w:szCs w:val="20"/>
                <w:lang w:eastAsia="en-GB"/>
              </w:rPr>
            </w:pPr>
          </w:p>
        </w:tc>
        <w:tc>
          <w:tcPr>
            <w:tcW w:w="1418" w:type="dxa"/>
            <w:tcBorders>
              <w:top w:val="single" w:sz="4" w:space="0" w:color="auto"/>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b/>
                <w:bCs/>
                <w:color w:val="000000"/>
                <w:sz w:val="20"/>
                <w:szCs w:val="20"/>
                <w:lang w:eastAsia="en-GB"/>
              </w:rPr>
            </w:pPr>
            <w:r w:rsidRPr="00233618">
              <w:rPr>
                <w:rFonts w:ascii="Verdana" w:eastAsia="Times New Roman" w:hAnsi="Verdana" w:cs="Arial"/>
                <w:b/>
                <w:bCs/>
                <w:color w:val="000000"/>
                <w:sz w:val="20"/>
                <w:szCs w:val="20"/>
                <w:lang w:eastAsia="en-GB"/>
              </w:rPr>
              <w:t xml:space="preserve">11,021 </w:t>
            </w:r>
          </w:p>
        </w:tc>
        <w:tc>
          <w:tcPr>
            <w:tcW w:w="1417" w:type="dxa"/>
            <w:tcBorders>
              <w:top w:val="single" w:sz="4" w:space="0" w:color="auto"/>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b/>
                <w:bCs/>
                <w:color w:val="000000"/>
                <w:sz w:val="20"/>
                <w:szCs w:val="20"/>
                <w:lang w:eastAsia="en-GB"/>
              </w:rPr>
            </w:pPr>
            <w:r w:rsidRPr="00233618">
              <w:rPr>
                <w:rFonts w:ascii="Verdana" w:eastAsia="Times New Roman" w:hAnsi="Verdana" w:cs="Arial"/>
                <w:b/>
                <w:bCs/>
                <w:color w:val="000000"/>
                <w:sz w:val="20"/>
                <w:szCs w:val="20"/>
                <w:lang w:eastAsia="en-GB"/>
              </w:rPr>
              <w:t xml:space="preserve">12,678 </w:t>
            </w:r>
          </w:p>
        </w:tc>
        <w:tc>
          <w:tcPr>
            <w:tcW w:w="1418" w:type="dxa"/>
            <w:tcBorders>
              <w:top w:val="single" w:sz="4" w:space="0" w:color="auto"/>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b/>
                <w:bCs/>
                <w:color w:val="000000"/>
                <w:sz w:val="20"/>
                <w:szCs w:val="20"/>
                <w:lang w:eastAsia="en-GB"/>
              </w:rPr>
            </w:pPr>
            <w:r w:rsidRPr="00233618">
              <w:rPr>
                <w:rFonts w:ascii="Verdana" w:eastAsia="Times New Roman" w:hAnsi="Verdana" w:cs="Arial"/>
                <w:b/>
                <w:bCs/>
                <w:color w:val="000000"/>
                <w:sz w:val="20"/>
                <w:szCs w:val="20"/>
                <w:lang w:eastAsia="en-GB"/>
              </w:rPr>
              <w:t xml:space="preserve">1,657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b/>
                <w:bCs/>
                <w:color w:val="000000"/>
                <w:sz w:val="20"/>
                <w:szCs w:val="20"/>
                <w:lang w:eastAsia="en-GB"/>
              </w:rPr>
            </w:pPr>
            <w:r w:rsidRPr="00233618">
              <w:rPr>
                <w:rFonts w:ascii="Verdana" w:eastAsia="Times New Roman" w:hAnsi="Verdana" w:cs="Arial"/>
                <w:b/>
                <w:bCs/>
                <w:color w:val="000000"/>
                <w:sz w:val="20"/>
                <w:szCs w:val="20"/>
                <w:lang w:eastAsia="en-GB"/>
              </w:rPr>
              <w:t>Schools Block</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color w:val="000000"/>
                <w:sz w:val="20"/>
                <w:szCs w:val="20"/>
                <w:lang w:eastAsia="en-GB"/>
              </w:rPr>
            </w:pPr>
          </w:p>
        </w:tc>
        <w:tc>
          <w:tcPr>
            <w:tcW w:w="1417"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color w:val="000000"/>
                <w:sz w:val="20"/>
                <w:szCs w:val="20"/>
                <w:lang w:eastAsia="en-GB"/>
              </w:rPr>
            </w:pPr>
          </w:p>
        </w:tc>
        <w:tc>
          <w:tcPr>
            <w:tcW w:w="1418"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color w:val="000000"/>
                <w:sz w:val="20"/>
                <w:szCs w:val="20"/>
                <w:lang w:eastAsia="en-GB"/>
              </w:rPr>
            </w:pP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Schools Formula Funding</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47,982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47,982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0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Schools Central - Growth / Falling Rolls</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1,402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1,402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0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Schools Central - Trade Union</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41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41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0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Schools Central - Other (TU, Redundancy)</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130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218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88 </w:t>
            </w:r>
          </w:p>
        </w:tc>
      </w:tr>
      <w:tr w:rsidR="00233618" w:rsidRPr="00233618" w:rsidTr="00233618">
        <w:trPr>
          <w:trHeight w:val="165"/>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p>
        </w:tc>
        <w:tc>
          <w:tcPr>
            <w:tcW w:w="1418"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color w:val="000000"/>
                <w:sz w:val="20"/>
                <w:szCs w:val="20"/>
                <w:lang w:eastAsia="en-GB"/>
              </w:rPr>
            </w:pPr>
          </w:p>
        </w:tc>
        <w:tc>
          <w:tcPr>
            <w:tcW w:w="1417"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color w:val="000000"/>
                <w:sz w:val="20"/>
                <w:szCs w:val="20"/>
                <w:lang w:eastAsia="en-GB"/>
              </w:rPr>
            </w:pPr>
          </w:p>
        </w:tc>
        <w:tc>
          <w:tcPr>
            <w:tcW w:w="1418"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color w:val="000000"/>
                <w:sz w:val="20"/>
                <w:szCs w:val="20"/>
                <w:lang w:eastAsia="en-GB"/>
              </w:rPr>
            </w:pP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Finance and Resources</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243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265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22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School Standards</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66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66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0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Intervention Fund</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75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75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0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Admissions</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431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431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0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Multi Agency Safeguarding Hub</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17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17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0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Virtual School</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102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102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0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color w:val="000000"/>
                <w:sz w:val="20"/>
                <w:szCs w:val="20"/>
                <w:lang w:eastAsia="en-GB"/>
              </w:rPr>
            </w:pPr>
          </w:p>
        </w:tc>
        <w:tc>
          <w:tcPr>
            <w:tcW w:w="1418" w:type="dxa"/>
            <w:tcBorders>
              <w:top w:val="single" w:sz="4" w:space="0" w:color="auto"/>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b/>
                <w:bCs/>
                <w:color w:val="000000"/>
                <w:sz w:val="20"/>
                <w:szCs w:val="20"/>
                <w:lang w:eastAsia="en-GB"/>
              </w:rPr>
            </w:pPr>
            <w:r w:rsidRPr="00233618">
              <w:rPr>
                <w:rFonts w:ascii="Verdana" w:eastAsia="Times New Roman" w:hAnsi="Verdana" w:cs="Arial"/>
                <w:b/>
                <w:bCs/>
                <w:color w:val="000000"/>
                <w:sz w:val="20"/>
                <w:szCs w:val="20"/>
                <w:lang w:eastAsia="en-GB"/>
              </w:rPr>
              <w:t xml:space="preserve">50,489 </w:t>
            </w:r>
          </w:p>
        </w:tc>
        <w:tc>
          <w:tcPr>
            <w:tcW w:w="1417" w:type="dxa"/>
            <w:tcBorders>
              <w:top w:val="single" w:sz="4" w:space="0" w:color="auto"/>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b/>
                <w:bCs/>
                <w:color w:val="000000"/>
                <w:sz w:val="20"/>
                <w:szCs w:val="20"/>
                <w:lang w:eastAsia="en-GB"/>
              </w:rPr>
            </w:pPr>
            <w:r w:rsidRPr="00233618">
              <w:rPr>
                <w:rFonts w:ascii="Verdana" w:eastAsia="Times New Roman" w:hAnsi="Verdana" w:cs="Arial"/>
                <w:b/>
                <w:bCs/>
                <w:color w:val="000000"/>
                <w:sz w:val="20"/>
                <w:szCs w:val="20"/>
                <w:lang w:eastAsia="en-GB"/>
              </w:rPr>
              <w:t xml:space="preserve">50,599 </w:t>
            </w:r>
          </w:p>
        </w:tc>
        <w:tc>
          <w:tcPr>
            <w:tcW w:w="1418" w:type="dxa"/>
            <w:tcBorders>
              <w:top w:val="single" w:sz="4" w:space="0" w:color="auto"/>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b/>
                <w:bCs/>
                <w:color w:val="000000"/>
                <w:sz w:val="20"/>
                <w:szCs w:val="20"/>
                <w:lang w:eastAsia="en-GB"/>
              </w:rPr>
            </w:pPr>
            <w:r w:rsidRPr="00233618">
              <w:rPr>
                <w:rFonts w:ascii="Verdana" w:eastAsia="Times New Roman" w:hAnsi="Verdana" w:cs="Arial"/>
                <w:b/>
                <w:bCs/>
                <w:color w:val="000000"/>
                <w:sz w:val="20"/>
                <w:szCs w:val="20"/>
                <w:lang w:eastAsia="en-GB"/>
              </w:rPr>
              <w:t xml:space="preserve">110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b/>
                <w:bCs/>
                <w:color w:val="000000"/>
                <w:sz w:val="20"/>
                <w:szCs w:val="20"/>
                <w:lang w:eastAsia="en-GB"/>
              </w:rPr>
            </w:pPr>
            <w:r w:rsidRPr="00233618">
              <w:rPr>
                <w:rFonts w:ascii="Verdana" w:eastAsia="Times New Roman" w:hAnsi="Verdana" w:cs="Arial"/>
                <w:b/>
                <w:bCs/>
                <w:color w:val="000000"/>
                <w:sz w:val="20"/>
                <w:szCs w:val="20"/>
                <w:lang w:eastAsia="en-GB"/>
              </w:rPr>
              <w:t>High Needs Block</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color w:val="000000"/>
                <w:sz w:val="20"/>
                <w:szCs w:val="20"/>
                <w:lang w:eastAsia="en-GB"/>
              </w:rPr>
            </w:pPr>
          </w:p>
        </w:tc>
        <w:tc>
          <w:tcPr>
            <w:tcW w:w="1417"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color w:val="000000"/>
                <w:sz w:val="20"/>
                <w:szCs w:val="20"/>
                <w:lang w:eastAsia="en-GB"/>
              </w:rPr>
            </w:pPr>
          </w:p>
        </w:tc>
        <w:tc>
          <w:tcPr>
            <w:tcW w:w="1418"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color w:val="000000"/>
                <w:sz w:val="20"/>
                <w:szCs w:val="20"/>
                <w:lang w:eastAsia="en-GB"/>
              </w:rPr>
            </w:pP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Element 2 Funding</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1,727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1,727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0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Special Unit Place Funding</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1,890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1,890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0 </w:t>
            </w:r>
          </w:p>
        </w:tc>
      </w:tr>
      <w:tr w:rsidR="00233618" w:rsidRPr="00233618" w:rsidTr="00233618">
        <w:trPr>
          <w:trHeight w:val="165"/>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p>
        </w:tc>
        <w:tc>
          <w:tcPr>
            <w:tcW w:w="1418"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color w:val="000000"/>
                <w:sz w:val="20"/>
                <w:szCs w:val="20"/>
                <w:lang w:eastAsia="en-GB"/>
              </w:rPr>
            </w:pPr>
          </w:p>
        </w:tc>
        <w:tc>
          <w:tcPr>
            <w:tcW w:w="1417"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color w:val="000000"/>
                <w:sz w:val="20"/>
                <w:szCs w:val="20"/>
                <w:lang w:eastAsia="en-GB"/>
              </w:rPr>
            </w:pPr>
          </w:p>
        </w:tc>
        <w:tc>
          <w:tcPr>
            <w:tcW w:w="1418"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color w:val="000000"/>
                <w:sz w:val="20"/>
                <w:szCs w:val="20"/>
                <w:lang w:eastAsia="en-GB"/>
              </w:rPr>
            </w:pP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EAL and Early Years Team</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55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97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42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Educational Psychology</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100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100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0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Top-Up Funding – Maintained</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6,257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5,272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FF0000"/>
                <w:sz w:val="20"/>
                <w:szCs w:val="20"/>
                <w:lang w:eastAsia="en-GB"/>
              </w:rPr>
              <w:t xml:space="preserve">-985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Top-Up Funding - Academy, Free, Ind.</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7,918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7,845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FF0000"/>
                <w:sz w:val="20"/>
                <w:szCs w:val="20"/>
                <w:lang w:eastAsia="en-GB"/>
              </w:rPr>
              <w:t xml:space="preserve">-73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Alternative Provision Commissioning</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750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1,161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411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Belongings Placements</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564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410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FF0000"/>
                <w:sz w:val="20"/>
                <w:szCs w:val="20"/>
                <w:lang w:eastAsia="en-GB"/>
              </w:rPr>
              <w:t xml:space="preserve">-154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SEN Commissioning</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776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768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FF0000"/>
                <w:sz w:val="20"/>
                <w:szCs w:val="20"/>
                <w:lang w:eastAsia="en-GB"/>
              </w:rPr>
              <w:t xml:space="preserve">-8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Vulnerable children placements</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113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113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0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SEN Business and Finance Administration</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212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212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0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SEN Outreach</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579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579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0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Portage</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240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240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0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Speech </w:t>
            </w:r>
            <w:r>
              <w:rPr>
                <w:rFonts w:ascii="Verdana" w:eastAsia="Times New Roman" w:hAnsi="Verdana" w:cs="Arial"/>
                <w:color w:val="000000"/>
                <w:sz w:val="20"/>
                <w:szCs w:val="20"/>
                <w:lang w:eastAsia="en-GB"/>
              </w:rPr>
              <w:t>and</w:t>
            </w:r>
            <w:r w:rsidRPr="00233618">
              <w:rPr>
                <w:rFonts w:ascii="Verdana" w:eastAsia="Times New Roman" w:hAnsi="Verdana" w:cs="Arial"/>
                <w:color w:val="000000"/>
                <w:sz w:val="20"/>
                <w:szCs w:val="20"/>
                <w:lang w:eastAsia="en-GB"/>
              </w:rPr>
              <w:t xml:space="preserve"> Language Therapy (SALT)</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238 </w:t>
            </w:r>
          </w:p>
        </w:tc>
        <w:tc>
          <w:tcPr>
            <w:tcW w:w="1417"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238 </w:t>
            </w:r>
          </w:p>
        </w:tc>
        <w:tc>
          <w:tcPr>
            <w:tcW w:w="1418" w:type="dxa"/>
            <w:tcBorders>
              <w:top w:val="nil"/>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color w:val="000000"/>
                <w:sz w:val="20"/>
                <w:szCs w:val="20"/>
                <w:lang w:eastAsia="en-GB"/>
              </w:rPr>
            </w:pPr>
            <w:r w:rsidRPr="00233618">
              <w:rPr>
                <w:rFonts w:ascii="Verdana" w:eastAsia="Times New Roman" w:hAnsi="Verdana" w:cs="Arial"/>
                <w:color w:val="000000"/>
                <w:sz w:val="20"/>
                <w:szCs w:val="20"/>
                <w:lang w:eastAsia="en-GB"/>
              </w:rPr>
              <w:t xml:space="preserve">0 </w:t>
            </w:r>
          </w:p>
        </w:tc>
      </w:tr>
      <w:tr w:rsidR="00233618" w:rsidRPr="00233618" w:rsidTr="00233618">
        <w:trPr>
          <w:trHeight w:val="240"/>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p>
        </w:tc>
        <w:tc>
          <w:tcPr>
            <w:tcW w:w="1418" w:type="dxa"/>
            <w:tcBorders>
              <w:top w:val="single" w:sz="4" w:space="0" w:color="auto"/>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b/>
                <w:bCs/>
                <w:color w:val="000000"/>
                <w:sz w:val="20"/>
                <w:szCs w:val="20"/>
                <w:lang w:eastAsia="en-GB"/>
              </w:rPr>
            </w:pPr>
            <w:r w:rsidRPr="00233618">
              <w:rPr>
                <w:rFonts w:ascii="Verdana" w:eastAsia="Times New Roman" w:hAnsi="Verdana" w:cs="Arial"/>
                <w:b/>
                <w:bCs/>
                <w:color w:val="000000"/>
                <w:sz w:val="20"/>
                <w:szCs w:val="20"/>
                <w:lang w:eastAsia="en-GB"/>
              </w:rPr>
              <w:t xml:space="preserve">21,419 </w:t>
            </w:r>
          </w:p>
        </w:tc>
        <w:tc>
          <w:tcPr>
            <w:tcW w:w="1417" w:type="dxa"/>
            <w:tcBorders>
              <w:top w:val="single" w:sz="4" w:space="0" w:color="auto"/>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b/>
                <w:bCs/>
                <w:color w:val="000000"/>
                <w:sz w:val="20"/>
                <w:szCs w:val="20"/>
                <w:lang w:eastAsia="en-GB"/>
              </w:rPr>
            </w:pPr>
            <w:r w:rsidRPr="00233618">
              <w:rPr>
                <w:rFonts w:ascii="Verdana" w:eastAsia="Times New Roman" w:hAnsi="Verdana" w:cs="Arial"/>
                <w:b/>
                <w:bCs/>
                <w:color w:val="000000"/>
                <w:sz w:val="20"/>
                <w:szCs w:val="20"/>
                <w:lang w:eastAsia="en-GB"/>
              </w:rPr>
              <w:t xml:space="preserve">20,652 </w:t>
            </w:r>
          </w:p>
        </w:tc>
        <w:tc>
          <w:tcPr>
            <w:tcW w:w="1418" w:type="dxa"/>
            <w:tcBorders>
              <w:top w:val="single" w:sz="4" w:space="0" w:color="auto"/>
              <w:left w:val="nil"/>
              <w:bottom w:val="nil"/>
              <w:right w:val="nil"/>
            </w:tcBorders>
            <w:shd w:val="clear" w:color="auto" w:fill="auto"/>
            <w:noWrap/>
            <w:vAlign w:val="bottom"/>
            <w:hideMark/>
          </w:tcPr>
          <w:p w:rsidR="00233618" w:rsidRPr="00233618" w:rsidRDefault="00233618" w:rsidP="00233618">
            <w:pPr>
              <w:jc w:val="right"/>
              <w:rPr>
                <w:rFonts w:ascii="Verdana" w:eastAsia="Times New Roman" w:hAnsi="Verdana" w:cs="Arial"/>
                <w:b/>
                <w:bCs/>
                <w:color w:val="000000"/>
                <w:sz w:val="20"/>
                <w:szCs w:val="20"/>
                <w:lang w:eastAsia="en-GB"/>
              </w:rPr>
            </w:pPr>
            <w:r w:rsidRPr="00233618">
              <w:rPr>
                <w:rFonts w:ascii="Verdana" w:eastAsia="Times New Roman" w:hAnsi="Verdana" w:cs="Arial"/>
                <w:b/>
                <w:bCs/>
                <w:color w:val="FF0000"/>
                <w:sz w:val="20"/>
                <w:szCs w:val="20"/>
                <w:lang w:eastAsia="en-GB"/>
              </w:rPr>
              <w:t xml:space="preserve">-767 </w:t>
            </w:r>
          </w:p>
        </w:tc>
      </w:tr>
      <w:tr w:rsidR="00233618" w:rsidRPr="00233618" w:rsidTr="00233618">
        <w:trPr>
          <w:trHeight w:val="165"/>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0"/>
              <w:rPr>
                <w:rFonts w:ascii="Verdana" w:eastAsia="Times New Roman" w:hAnsi="Verdana" w:cs="Arial"/>
                <w:color w:val="000000"/>
                <w:sz w:val="20"/>
                <w:szCs w:val="20"/>
                <w:lang w:eastAsia="en-GB"/>
              </w:rPr>
            </w:pPr>
          </w:p>
        </w:tc>
        <w:tc>
          <w:tcPr>
            <w:tcW w:w="1418"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color w:val="000000"/>
                <w:sz w:val="20"/>
                <w:szCs w:val="20"/>
                <w:lang w:eastAsia="en-GB"/>
              </w:rPr>
            </w:pPr>
          </w:p>
        </w:tc>
        <w:tc>
          <w:tcPr>
            <w:tcW w:w="1417"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color w:val="000000"/>
                <w:sz w:val="20"/>
                <w:szCs w:val="20"/>
                <w:lang w:eastAsia="en-GB"/>
              </w:rPr>
            </w:pPr>
          </w:p>
        </w:tc>
        <w:tc>
          <w:tcPr>
            <w:tcW w:w="1418" w:type="dxa"/>
            <w:tcBorders>
              <w:top w:val="nil"/>
              <w:left w:val="nil"/>
              <w:bottom w:val="nil"/>
              <w:right w:val="nil"/>
            </w:tcBorders>
            <w:shd w:val="clear" w:color="auto" w:fill="auto"/>
            <w:noWrap/>
            <w:vAlign w:val="bottom"/>
            <w:hideMark/>
          </w:tcPr>
          <w:p w:rsidR="00233618" w:rsidRPr="00233618" w:rsidRDefault="00233618" w:rsidP="00233618">
            <w:pPr>
              <w:rPr>
                <w:rFonts w:ascii="Verdana" w:eastAsia="Times New Roman" w:hAnsi="Verdana" w:cs="Arial"/>
                <w:color w:val="000000"/>
                <w:sz w:val="20"/>
                <w:szCs w:val="20"/>
                <w:lang w:eastAsia="en-GB"/>
              </w:rPr>
            </w:pPr>
          </w:p>
        </w:tc>
      </w:tr>
      <w:tr w:rsidR="00233618" w:rsidRPr="00233618" w:rsidTr="00233618">
        <w:trPr>
          <w:trHeight w:val="255"/>
        </w:trPr>
        <w:tc>
          <w:tcPr>
            <w:tcW w:w="4693" w:type="dxa"/>
            <w:tcBorders>
              <w:top w:val="nil"/>
              <w:left w:val="nil"/>
              <w:bottom w:val="nil"/>
              <w:right w:val="nil"/>
            </w:tcBorders>
            <w:shd w:val="clear" w:color="auto" w:fill="auto"/>
            <w:noWrap/>
            <w:vAlign w:val="bottom"/>
            <w:hideMark/>
          </w:tcPr>
          <w:p w:rsidR="00233618" w:rsidRPr="00233618" w:rsidRDefault="00233618" w:rsidP="00233618">
            <w:pPr>
              <w:ind w:firstLineChars="100" w:firstLine="201"/>
              <w:rPr>
                <w:rFonts w:ascii="Verdana" w:eastAsia="Times New Roman" w:hAnsi="Verdana" w:cs="Arial"/>
                <w:b/>
                <w:bCs/>
                <w:color w:val="000000"/>
                <w:sz w:val="20"/>
                <w:szCs w:val="20"/>
                <w:lang w:eastAsia="en-GB"/>
              </w:rPr>
            </w:pPr>
            <w:r w:rsidRPr="00233618">
              <w:rPr>
                <w:rFonts w:ascii="Verdana" w:eastAsia="Times New Roman" w:hAnsi="Verdana" w:cs="Arial"/>
                <w:b/>
                <w:bCs/>
                <w:color w:val="000000"/>
                <w:sz w:val="20"/>
                <w:szCs w:val="20"/>
                <w:lang w:eastAsia="en-GB"/>
              </w:rPr>
              <w:t>TOTAL DSG Applied</w:t>
            </w:r>
          </w:p>
        </w:tc>
        <w:tc>
          <w:tcPr>
            <w:tcW w:w="1418" w:type="dxa"/>
            <w:tcBorders>
              <w:top w:val="single" w:sz="4" w:space="0" w:color="auto"/>
              <w:left w:val="nil"/>
              <w:bottom w:val="double" w:sz="6" w:space="0" w:color="auto"/>
              <w:right w:val="nil"/>
            </w:tcBorders>
            <w:shd w:val="clear" w:color="auto" w:fill="auto"/>
            <w:noWrap/>
            <w:vAlign w:val="bottom"/>
            <w:hideMark/>
          </w:tcPr>
          <w:p w:rsidR="00233618" w:rsidRPr="00233618" w:rsidRDefault="00233618" w:rsidP="00233618">
            <w:pPr>
              <w:jc w:val="right"/>
              <w:rPr>
                <w:rFonts w:ascii="Verdana" w:eastAsia="Times New Roman" w:hAnsi="Verdana" w:cs="Arial"/>
                <w:b/>
                <w:bCs/>
                <w:color w:val="000000"/>
                <w:sz w:val="20"/>
                <w:szCs w:val="20"/>
                <w:lang w:eastAsia="en-GB"/>
              </w:rPr>
            </w:pPr>
            <w:r w:rsidRPr="00233618">
              <w:rPr>
                <w:rFonts w:ascii="Verdana" w:eastAsia="Times New Roman" w:hAnsi="Verdana" w:cs="Arial"/>
                <w:b/>
                <w:bCs/>
                <w:color w:val="000000"/>
                <w:sz w:val="20"/>
                <w:szCs w:val="20"/>
                <w:lang w:eastAsia="en-GB"/>
              </w:rPr>
              <w:t xml:space="preserve">82,929 </w:t>
            </w:r>
          </w:p>
        </w:tc>
        <w:tc>
          <w:tcPr>
            <w:tcW w:w="1417" w:type="dxa"/>
            <w:tcBorders>
              <w:top w:val="single" w:sz="4" w:space="0" w:color="auto"/>
              <w:left w:val="nil"/>
              <w:bottom w:val="double" w:sz="6" w:space="0" w:color="auto"/>
              <w:right w:val="nil"/>
            </w:tcBorders>
            <w:shd w:val="clear" w:color="auto" w:fill="auto"/>
            <w:noWrap/>
            <w:vAlign w:val="bottom"/>
            <w:hideMark/>
          </w:tcPr>
          <w:p w:rsidR="00233618" w:rsidRPr="00233618" w:rsidRDefault="00233618" w:rsidP="00233618">
            <w:pPr>
              <w:jc w:val="right"/>
              <w:rPr>
                <w:rFonts w:ascii="Verdana" w:eastAsia="Times New Roman" w:hAnsi="Verdana" w:cs="Arial"/>
                <w:b/>
                <w:bCs/>
                <w:color w:val="000000"/>
                <w:sz w:val="20"/>
                <w:szCs w:val="20"/>
                <w:lang w:eastAsia="en-GB"/>
              </w:rPr>
            </w:pPr>
            <w:r w:rsidRPr="00233618">
              <w:rPr>
                <w:rFonts w:ascii="Verdana" w:eastAsia="Times New Roman" w:hAnsi="Verdana" w:cs="Arial"/>
                <w:b/>
                <w:bCs/>
                <w:color w:val="000000"/>
                <w:sz w:val="20"/>
                <w:szCs w:val="20"/>
                <w:lang w:eastAsia="en-GB"/>
              </w:rPr>
              <w:t xml:space="preserve">83,929 </w:t>
            </w:r>
          </w:p>
        </w:tc>
        <w:tc>
          <w:tcPr>
            <w:tcW w:w="1418" w:type="dxa"/>
            <w:tcBorders>
              <w:top w:val="single" w:sz="4" w:space="0" w:color="auto"/>
              <w:left w:val="nil"/>
              <w:bottom w:val="double" w:sz="6" w:space="0" w:color="auto"/>
              <w:right w:val="nil"/>
            </w:tcBorders>
            <w:shd w:val="clear" w:color="auto" w:fill="auto"/>
            <w:noWrap/>
            <w:vAlign w:val="bottom"/>
            <w:hideMark/>
          </w:tcPr>
          <w:p w:rsidR="00233618" w:rsidRPr="00233618" w:rsidRDefault="00233618" w:rsidP="00233618">
            <w:pPr>
              <w:jc w:val="right"/>
              <w:rPr>
                <w:rFonts w:ascii="Verdana" w:eastAsia="Times New Roman" w:hAnsi="Verdana" w:cs="Arial"/>
                <w:b/>
                <w:bCs/>
                <w:color w:val="000000"/>
                <w:sz w:val="20"/>
                <w:szCs w:val="20"/>
                <w:lang w:eastAsia="en-GB"/>
              </w:rPr>
            </w:pPr>
            <w:r w:rsidRPr="00233618">
              <w:rPr>
                <w:rFonts w:ascii="Verdana" w:eastAsia="Times New Roman" w:hAnsi="Verdana" w:cs="Arial"/>
                <w:b/>
                <w:bCs/>
                <w:color w:val="000000"/>
                <w:sz w:val="20"/>
                <w:szCs w:val="20"/>
                <w:lang w:eastAsia="en-GB"/>
              </w:rPr>
              <w:t xml:space="preserve">1,000 </w:t>
            </w:r>
          </w:p>
        </w:tc>
      </w:tr>
    </w:tbl>
    <w:p w:rsidR="00313646" w:rsidRPr="00096116" w:rsidRDefault="00313646" w:rsidP="00096116">
      <w:pPr>
        <w:jc w:val="both"/>
        <w:rPr>
          <w:vanish/>
        </w:rPr>
      </w:pPr>
    </w:p>
    <w:sectPr w:rsidR="00313646" w:rsidRPr="00096116" w:rsidSect="003219F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5A6" w:rsidRDefault="003035A6" w:rsidP="00342B17">
      <w:r>
        <w:separator/>
      </w:r>
    </w:p>
  </w:endnote>
  <w:endnote w:type="continuationSeparator" w:id="0">
    <w:p w:rsidR="003035A6" w:rsidRDefault="003035A6" w:rsidP="0034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AAC" w:rsidRDefault="00B01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AAC" w:rsidRDefault="00B01A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AAC" w:rsidRDefault="00B01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5A6" w:rsidRDefault="003035A6" w:rsidP="00342B17">
      <w:r>
        <w:separator/>
      </w:r>
    </w:p>
  </w:footnote>
  <w:footnote w:type="continuationSeparator" w:id="0">
    <w:p w:rsidR="003035A6" w:rsidRDefault="003035A6" w:rsidP="00342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AAC" w:rsidRDefault="00B01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AAC" w:rsidRPr="00B01AAC" w:rsidRDefault="00B01AAC" w:rsidP="00B01AAC">
    <w:pPr>
      <w:spacing w:line="264" w:lineRule="auto"/>
      <w:ind w:left="7920" w:firstLine="585"/>
      <w:rPr>
        <w:b/>
        <w:sz w:val="32"/>
        <w:szCs w:val="32"/>
      </w:rPr>
    </w:pPr>
    <w:bookmarkStart w:id="0" w:name="_GoBack"/>
    <w:bookmarkEnd w:id="0"/>
    <w:r w:rsidRPr="00B01AAC">
      <w:rPr>
        <w:b/>
        <w:noProof/>
        <w:color w:val="000000"/>
        <w:sz w:val="32"/>
        <w:szCs w:val="32"/>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8D7E7D8"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f7f7f [1614]" strokeweight="1.25pt">
              <w10:wrap anchorx="page" anchory="page"/>
            </v:rect>
          </w:pict>
        </mc:Fallback>
      </mc:AlternateContent>
    </w:r>
    <w:r w:rsidRPr="00B01AAC">
      <w:rPr>
        <w:b/>
        <w:sz w:val="32"/>
        <w:szCs w:val="32"/>
      </w:rPr>
      <w:t>A7</w:t>
    </w:r>
  </w:p>
  <w:p w:rsidR="00B01AAC" w:rsidRDefault="00B01A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AAC" w:rsidRDefault="00B01A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024" w:rsidRPr="00342B17" w:rsidRDefault="00B25024" w:rsidP="00342B17">
    <w:pPr>
      <w:pStyle w:val="Header"/>
      <w:jc w:val="right"/>
      <w:rPr>
        <w:b/>
        <w:sz w:val="28"/>
        <w:szCs w:val="28"/>
      </w:rPr>
    </w:pPr>
    <w:r>
      <w:rPr>
        <w:b/>
        <w:sz w:val="28"/>
        <w:szCs w:val="28"/>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E99"/>
    <w:multiLevelType w:val="multilevel"/>
    <w:tmpl w:val="06960D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D14351"/>
    <w:multiLevelType w:val="hybridMultilevel"/>
    <w:tmpl w:val="7EC242B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1A8052DA"/>
    <w:multiLevelType w:val="multilevel"/>
    <w:tmpl w:val="B622C25C"/>
    <w:lvl w:ilvl="0">
      <w:start w:val="1"/>
      <w:numFmt w:val="decimal"/>
      <w:lvlText w:val="%1."/>
      <w:lvlJc w:val="left"/>
      <w:pPr>
        <w:ind w:left="930" w:hanging="570"/>
      </w:pPr>
      <w:rPr>
        <w:rFonts w:hint="default"/>
      </w:rPr>
    </w:lvl>
    <w:lvl w:ilvl="1">
      <w:start w:val="2"/>
      <w:numFmt w:val="decimal"/>
      <w:isLgl/>
      <w:lvlText w:val="%1.%2"/>
      <w:lvlJc w:val="left"/>
      <w:pPr>
        <w:ind w:left="1080" w:hanging="720"/>
      </w:pPr>
      <w:rPr>
        <w:rFonts w:cstheme="minorBidi" w:hint="default"/>
        <w:color w:val="auto"/>
        <w:sz w:val="24"/>
      </w:rPr>
    </w:lvl>
    <w:lvl w:ilvl="2">
      <w:start w:val="1"/>
      <w:numFmt w:val="decimal"/>
      <w:isLgl/>
      <w:lvlText w:val="%1.%2.%3"/>
      <w:lvlJc w:val="left"/>
      <w:pPr>
        <w:ind w:left="1440" w:hanging="1080"/>
      </w:pPr>
      <w:rPr>
        <w:rFonts w:cstheme="minorBidi" w:hint="default"/>
        <w:color w:val="auto"/>
        <w:sz w:val="24"/>
      </w:rPr>
    </w:lvl>
    <w:lvl w:ilvl="3">
      <w:start w:val="1"/>
      <w:numFmt w:val="decimal"/>
      <w:isLgl/>
      <w:lvlText w:val="%1.%2.%3.%4"/>
      <w:lvlJc w:val="left"/>
      <w:pPr>
        <w:ind w:left="1440" w:hanging="1080"/>
      </w:pPr>
      <w:rPr>
        <w:rFonts w:cstheme="minorBidi" w:hint="default"/>
        <w:color w:val="auto"/>
        <w:sz w:val="24"/>
      </w:rPr>
    </w:lvl>
    <w:lvl w:ilvl="4">
      <w:start w:val="1"/>
      <w:numFmt w:val="decimal"/>
      <w:isLgl/>
      <w:lvlText w:val="%1.%2.%3.%4.%5"/>
      <w:lvlJc w:val="left"/>
      <w:pPr>
        <w:ind w:left="1800" w:hanging="1440"/>
      </w:pPr>
      <w:rPr>
        <w:rFonts w:cstheme="minorBidi" w:hint="default"/>
        <w:color w:val="auto"/>
        <w:sz w:val="24"/>
      </w:rPr>
    </w:lvl>
    <w:lvl w:ilvl="5">
      <w:start w:val="1"/>
      <w:numFmt w:val="decimal"/>
      <w:isLgl/>
      <w:lvlText w:val="%1.%2.%3.%4.%5.%6"/>
      <w:lvlJc w:val="left"/>
      <w:pPr>
        <w:ind w:left="2160" w:hanging="1800"/>
      </w:pPr>
      <w:rPr>
        <w:rFonts w:cstheme="minorBidi" w:hint="default"/>
        <w:color w:val="auto"/>
        <w:sz w:val="24"/>
      </w:rPr>
    </w:lvl>
    <w:lvl w:ilvl="6">
      <w:start w:val="1"/>
      <w:numFmt w:val="decimal"/>
      <w:isLgl/>
      <w:lvlText w:val="%1.%2.%3.%4.%5.%6.%7"/>
      <w:lvlJc w:val="left"/>
      <w:pPr>
        <w:ind w:left="2520" w:hanging="2160"/>
      </w:pPr>
      <w:rPr>
        <w:rFonts w:cstheme="minorBidi" w:hint="default"/>
        <w:color w:val="auto"/>
        <w:sz w:val="24"/>
      </w:rPr>
    </w:lvl>
    <w:lvl w:ilvl="7">
      <w:start w:val="1"/>
      <w:numFmt w:val="decimal"/>
      <w:isLgl/>
      <w:lvlText w:val="%1.%2.%3.%4.%5.%6.%7.%8"/>
      <w:lvlJc w:val="left"/>
      <w:pPr>
        <w:ind w:left="2880" w:hanging="2520"/>
      </w:pPr>
      <w:rPr>
        <w:rFonts w:cstheme="minorBidi" w:hint="default"/>
        <w:color w:val="auto"/>
        <w:sz w:val="24"/>
      </w:rPr>
    </w:lvl>
    <w:lvl w:ilvl="8">
      <w:start w:val="1"/>
      <w:numFmt w:val="decimal"/>
      <w:isLgl/>
      <w:lvlText w:val="%1.%2.%3.%4.%5.%6.%7.%8.%9"/>
      <w:lvlJc w:val="left"/>
      <w:pPr>
        <w:ind w:left="2880" w:hanging="2520"/>
      </w:pPr>
      <w:rPr>
        <w:rFonts w:cstheme="minorBidi" w:hint="default"/>
        <w:color w:val="auto"/>
        <w:sz w:val="24"/>
      </w:rPr>
    </w:lvl>
  </w:abstractNum>
  <w:abstractNum w:abstractNumId="3" w15:restartNumberingAfterBreak="0">
    <w:nsid w:val="53203A72"/>
    <w:multiLevelType w:val="hybridMultilevel"/>
    <w:tmpl w:val="B5A8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857ED8"/>
    <w:multiLevelType w:val="multilevel"/>
    <w:tmpl w:val="9F3C33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C90B03"/>
    <w:multiLevelType w:val="hybridMultilevel"/>
    <w:tmpl w:val="57026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AF208D"/>
    <w:multiLevelType w:val="multilevel"/>
    <w:tmpl w:val="06960D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6E79DB"/>
    <w:multiLevelType w:val="multilevel"/>
    <w:tmpl w:val="06960D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6C687C"/>
    <w:multiLevelType w:val="hybridMultilevel"/>
    <w:tmpl w:val="DA3857DC"/>
    <w:lvl w:ilvl="0" w:tplc="DFDA58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7663A3"/>
    <w:multiLevelType w:val="hybridMultilevel"/>
    <w:tmpl w:val="5714316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4"/>
  </w:num>
  <w:num w:numId="6">
    <w:abstractNumId w:val="6"/>
  </w:num>
  <w:num w:numId="7">
    <w:abstractNumId w:val="3"/>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46"/>
    <w:rsid w:val="00034CDC"/>
    <w:rsid w:val="00073D70"/>
    <w:rsid w:val="00075A4A"/>
    <w:rsid w:val="000764D3"/>
    <w:rsid w:val="00095F81"/>
    <w:rsid w:val="00096116"/>
    <w:rsid w:val="000B3657"/>
    <w:rsid w:val="000C46C4"/>
    <w:rsid w:val="001772E2"/>
    <w:rsid w:val="00184FCA"/>
    <w:rsid w:val="001E27DC"/>
    <w:rsid w:val="00233618"/>
    <w:rsid w:val="00244B10"/>
    <w:rsid w:val="00291726"/>
    <w:rsid w:val="003035A6"/>
    <w:rsid w:val="00313646"/>
    <w:rsid w:val="003219F5"/>
    <w:rsid w:val="00325310"/>
    <w:rsid w:val="00342B17"/>
    <w:rsid w:val="0039099E"/>
    <w:rsid w:val="003959BB"/>
    <w:rsid w:val="003A0516"/>
    <w:rsid w:val="003F5467"/>
    <w:rsid w:val="0040010A"/>
    <w:rsid w:val="00404B21"/>
    <w:rsid w:val="00451A4D"/>
    <w:rsid w:val="00452DA6"/>
    <w:rsid w:val="004659FA"/>
    <w:rsid w:val="004A7ACB"/>
    <w:rsid w:val="00544CFF"/>
    <w:rsid w:val="0057614E"/>
    <w:rsid w:val="00595769"/>
    <w:rsid w:val="00650869"/>
    <w:rsid w:val="006D3048"/>
    <w:rsid w:val="0073611E"/>
    <w:rsid w:val="007C3697"/>
    <w:rsid w:val="00822A28"/>
    <w:rsid w:val="00824D5B"/>
    <w:rsid w:val="00844FAA"/>
    <w:rsid w:val="00867513"/>
    <w:rsid w:val="008A49C5"/>
    <w:rsid w:val="008C7400"/>
    <w:rsid w:val="0092687C"/>
    <w:rsid w:val="0096392C"/>
    <w:rsid w:val="00971FCF"/>
    <w:rsid w:val="00975825"/>
    <w:rsid w:val="009936A6"/>
    <w:rsid w:val="009B2512"/>
    <w:rsid w:val="00A04401"/>
    <w:rsid w:val="00A110FC"/>
    <w:rsid w:val="00A1244A"/>
    <w:rsid w:val="00AA0737"/>
    <w:rsid w:val="00AE3A62"/>
    <w:rsid w:val="00AF7A4E"/>
    <w:rsid w:val="00B01AAC"/>
    <w:rsid w:val="00B25024"/>
    <w:rsid w:val="00B55B84"/>
    <w:rsid w:val="00BD5E9A"/>
    <w:rsid w:val="00C206D9"/>
    <w:rsid w:val="00C632A5"/>
    <w:rsid w:val="00C72AA7"/>
    <w:rsid w:val="00C83FA8"/>
    <w:rsid w:val="00CA0157"/>
    <w:rsid w:val="00D052FA"/>
    <w:rsid w:val="00D477AE"/>
    <w:rsid w:val="00D65C85"/>
    <w:rsid w:val="00DA53E1"/>
    <w:rsid w:val="00DD1D5F"/>
    <w:rsid w:val="00E02B85"/>
    <w:rsid w:val="00E268C8"/>
    <w:rsid w:val="00E80074"/>
    <w:rsid w:val="00EF572B"/>
    <w:rsid w:val="00FC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051E"/>
  <w15:docId w15:val="{18BF660D-B9C0-4EC2-9C75-83BCD619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46"/>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styleId="ListParagraph">
    <w:name w:val="List Paragraph"/>
    <w:basedOn w:val="Normal"/>
    <w:uiPriority w:val="34"/>
    <w:unhideWhenUsed/>
    <w:qFormat/>
    <w:rsid w:val="00313646"/>
    <w:pPr>
      <w:ind w:left="720"/>
      <w:contextualSpacing/>
    </w:pPr>
  </w:style>
  <w:style w:type="paragraph" w:styleId="BodyTextIndent">
    <w:name w:val="Body Text Indent"/>
    <w:basedOn w:val="Normal"/>
    <w:link w:val="BodyTextIndentChar"/>
    <w:rsid w:val="00313646"/>
    <w:pPr>
      <w:ind w:left="720"/>
    </w:pPr>
    <w:rPr>
      <w:rFonts w:ascii="Verdana" w:eastAsia="Times New Roman" w:hAnsi="Verdana" w:cs="Times New Roman"/>
    </w:rPr>
  </w:style>
  <w:style w:type="character" w:customStyle="1" w:styleId="BodyTextIndentChar">
    <w:name w:val="Body Text Indent Char"/>
    <w:basedOn w:val="DefaultParagraphFont"/>
    <w:link w:val="BodyTextIndent"/>
    <w:rsid w:val="00313646"/>
    <w:rPr>
      <w:rFonts w:ascii="Verdana" w:eastAsia="Times New Roman" w:hAnsi="Verdana" w:cs="Times New Roman"/>
    </w:rPr>
  </w:style>
  <w:style w:type="paragraph" w:customStyle="1" w:styleId="Default">
    <w:name w:val="Default"/>
    <w:rsid w:val="00313646"/>
    <w:pPr>
      <w:autoSpaceDE w:val="0"/>
      <w:autoSpaceDN w:val="0"/>
      <w:adjustRightInd w:val="0"/>
    </w:pPr>
    <w:rPr>
      <w:rFonts w:ascii="Verdana" w:hAnsi="Verdana" w:cs="Verdana"/>
      <w:color w:val="000000"/>
    </w:rPr>
  </w:style>
  <w:style w:type="table" w:styleId="TableGrid">
    <w:name w:val="Table Grid"/>
    <w:basedOn w:val="TableNormal"/>
    <w:uiPriority w:val="59"/>
    <w:rsid w:val="00313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2B17"/>
    <w:pPr>
      <w:tabs>
        <w:tab w:val="center" w:pos="4513"/>
        <w:tab w:val="right" w:pos="9026"/>
      </w:tabs>
    </w:pPr>
  </w:style>
  <w:style w:type="character" w:customStyle="1" w:styleId="HeaderChar">
    <w:name w:val="Header Char"/>
    <w:basedOn w:val="DefaultParagraphFont"/>
    <w:link w:val="Header"/>
    <w:uiPriority w:val="99"/>
    <w:rsid w:val="00342B17"/>
  </w:style>
  <w:style w:type="paragraph" w:styleId="Footer">
    <w:name w:val="footer"/>
    <w:basedOn w:val="Normal"/>
    <w:link w:val="FooterChar"/>
    <w:uiPriority w:val="99"/>
    <w:unhideWhenUsed/>
    <w:rsid w:val="00342B17"/>
    <w:pPr>
      <w:tabs>
        <w:tab w:val="center" w:pos="4513"/>
        <w:tab w:val="right" w:pos="9026"/>
      </w:tabs>
    </w:pPr>
  </w:style>
  <w:style w:type="character" w:customStyle="1" w:styleId="FooterChar">
    <w:name w:val="Footer Char"/>
    <w:basedOn w:val="DefaultParagraphFont"/>
    <w:link w:val="Footer"/>
    <w:uiPriority w:val="99"/>
    <w:rsid w:val="00342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3498">
      <w:bodyDiv w:val="1"/>
      <w:marLeft w:val="0"/>
      <w:marRight w:val="0"/>
      <w:marTop w:val="0"/>
      <w:marBottom w:val="0"/>
      <w:divBdr>
        <w:top w:val="none" w:sz="0" w:space="0" w:color="auto"/>
        <w:left w:val="none" w:sz="0" w:space="0" w:color="auto"/>
        <w:bottom w:val="none" w:sz="0" w:space="0" w:color="auto"/>
        <w:right w:val="none" w:sz="0" w:space="0" w:color="auto"/>
      </w:divBdr>
    </w:div>
    <w:div w:id="912619344">
      <w:bodyDiv w:val="1"/>
      <w:marLeft w:val="0"/>
      <w:marRight w:val="0"/>
      <w:marTop w:val="0"/>
      <w:marBottom w:val="0"/>
      <w:divBdr>
        <w:top w:val="none" w:sz="0" w:space="0" w:color="auto"/>
        <w:left w:val="none" w:sz="0" w:space="0" w:color="auto"/>
        <w:bottom w:val="none" w:sz="0" w:space="0" w:color="auto"/>
        <w:right w:val="none" w:sz="0" w:space="0" w:color="auto"/>
      </w:divBdr>
    </w:div>
    <w:div w:id="184604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R.B.K.C.</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dc:title>
  <dc:creator>EDUALJU</dc:creator>
  <cp:lastModifiedBy>Tagg, Andrew: CS-Fin: RBKC</cp:lastModifiedBy>
  <cp:revision>3</cp:revision>
  <dcterms:created xsi:type="dcterms:W3CDTF">2016-10-04T20:18:00Z</dcterms:created>
  <dcterms:modified xsi:type="dcterms:W3CDTF">2016-10-04T20:30:00Z</dcterms:modified>
</cp:coreProperties>
</file>