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52" w:rsidRDefault="00722A52" w:rsidP="00320F98">
      <w:pPr>
        <w:jc w:val="center"/>
        <w:rPr>
          <w:rFonts w:ascii="Arial" w:hAnsi="Arial" w:cs="Arial"/>
          <w:sz w:val="28"/>
          <w:szCs w:val="28"/>
          <w:u w:val="single"/>
        </w:rPr>
      </w:pPr>
    </w:p>
    <w:p w:rsidR="000F66C4" w:rsidRPr="004574DC" w:rsidRDefault="00320F98" w:rsidP="00320F98">
      <w:pPr>
        <w:jc w:val="center"/>
        <w:rPr>
          <w:rFonts w:cs="Arial"/>
          <w:sz w:val="28"/>
          <w:szCs w:val="28"/>
          <w:u w:val="single"/>
        </w:rPr>
      </w:pPr>
      <w:r w:rsidRPr="004574DC">
        <w:rPr>
          <w:rFonts w:cs="Arial"/>
          <w:sz w:val="28"/>
          <w:szCs w:val="28"/>
          <w:u w:val="single"/>
        </w:rPr>
        <w:t xml:space="preserve">Prevent </w:t>
      </w:r>
      <w:r w:rsidR="00E12F03" w:rsidRPr="004574DC">
        <w:rPr>
          <w:rFonts w:cs="Arial"/>
          <w:sz w:val="28"/>
          <w:szCs w:val="28"/>
          <w:u w:val="single"/>
        </w:rPr>
        <w:t>Action Plan</w:t>
      </w:r>
      <w:r w:rsidR="00797133">
        <w:rPr>
          <w:rFonts w:cs="Arial"/>
          <w:sz w:val="28"/>
          <w:szCs w:val="28"/>
          <w:u w:val="single"/>
        </w:rPr>
        <w:t xml:space="preserve"> Template 2018-2019</w:t>
      </w:r>
    </w:p>
    <w:p w:rsidR="00E12F03" w:rsidRPr="004574DC" w:rsidRDefault="00E12F03" w:rsidP="00E12F03">
      <w:pPr>
        <w:pStyle w:val="NoSpacing"/>
        <w:rPr>
          <w:rFonts w:asciiTheme="minorHAnsi" w:hAnsiTheme="minorHAnsi" w:cs="Arial"/>
          <w:i/>
        </w:rPr>
      </w:pPr>
      <w:r w:rsidRPr="004574DC">
        <w:rPr>
          <w:rFonts w:asciiTheme="minorHAnsi" w:hAnsiTheme="minorHAnsi" w:cs="Arial"/>
          <w:i/>
        </w:rPr>
        <w:t>Under the Prevent Duty, all specified bodies, including schools, colleges and universities are required, in the exercise of their functions, to have ‘due regard for the need to prevent people being drawn into terrorism’. The legislation sets out that schools must</w:t>
      </w:r>
      <w:bookmarkStart w:id="0" w:name="_GoBack"/>
      <w:bookmarkEnd w:id="0"/>
      <w:r w:rsidRPr="004574DC">
        <w:rPr>
          <w:rFonts w:asciiTheme="minorHAnsi" w:hAnsiTheme="minorHAnsi" w:cs="Arial"/>
          <w:i/>
        </w:rPr>
        <w:t xml:space="preserve"> assess the risk of children being drawn into terrorism, and that this assessment should be based on ‘an understanding, shared with partners, of the potential risk in the local area’. It will be necessary for schools to develop an action plan outlining how identified risks will be addressed.  This Prevent Action Plan Template has been developed to assist schools in doing so by providing some suggested risk areas and proposed actions.</w:t>
      </w:r>
    </w:p>
    <w:p w:rsidR="00E12F03" w:rsidRPr="004574DC" w:rsidRDefault="00E12F03" w:rsidP="00E12F03">
      <w:pPr>
        <w:pStyle w:val="NoSpacing"/>
        <w:rPr>
          <w:rFonts w:asciiTheme="minorHAnsi" w:hAnsiTheme="minorHAnsi" w:cs="Arial"/>
        </w:rPr>
      </w:pPr>
    </w:p>
    <w:tbl>
      <w:tblPr>
        <w:tblStyle w:val="TableGrid"/>
        <w:tblW w:w="0" w:type="auto"/>
        <w:tblLook w:val="04A0" w:firstRow="1" w:lastRow="0" w:firstColumn="1" w:lastColumn="0" w:noHBand="0" w:noVBand="1"/>
      </w:tblPr>
      <w:tblGrid>
        <w:gridCol w:w="3199"/>
        <w:gridCol w:w="10749"/>
      </w:tblGrid>
      <w:tr w:rsidR="00320F98" w:rsidRPr="004574DC" w:rsidTr="004E1E05">
        <w:tc>
          <w:tcPr>
            <w:tcW w:w="3227" w:type="dxa"/>
          </w:tcPr>
          <w:p w:rsidR="00320F98" w:rsidRPr="004574DC" w:rsidRDefault="00320F98" w:rsidP="00CA316F">
            <w:pPr>
              <w:rPr>
                <w:rFonts w:cs="Arial"/>
                <w:b/>
              </w:rPr>
            </w:pPr>
            <w:r w:rsidRPr="004574DC">
              <w:rPr>
                <w:rFonts w:cs="Arial"/>
                <w:b/>
              </w:rPr>
              <w:t>School</w:t>
            </w:r>
          </w:p>
        </w:tc>
        <w:tc>
          <w:tcPr>
            <w:tcW w:w="10915" w:type="dxa"/>
          </w:tcPr>
          <w:p w:rsidR="00320F98" w:rsidRPr="004574DC" w:rsidRDefault="00320F98" w:rsidP="00CA316F">
            <w:pPr>
              <w:rPr>
                <w:rFonts w:cs="Arial"/>
                <w:u w:val="single"/>
              </w:rPr>
            </w:pPr>
          </w:p>
        </w:tc>
      </w:tr>
      <w:tr w:rsidR="00320F98" w:rsidRPr="004574DC" w:rsidTr="004E1E05">
        <w:tc>
          <w:tcPr>
            <w:tcW w:w="3227" w:type="dxa"/>
          </w:tcPr>
          <w:p w:rsidR="00320F98" w:rsidRPr="004574DC" w:rsidRDefault="00320F98" w:rsidP="00CA316F">
            <w:pPr>
              <w:rPr>
                <w:rFonts w:cs="Arial"/>
                <w:b/>
              </w:rPr>
            </w:pPr>
            <w:r w:rsidRPr="004574DC">
              <w:rPr>
                <w:rFonts w:cs="Arial"/>
                <w:b/>
              </w:rPr>
              <w:t>Safeguarding Lead</w:t>
            </w:r>
          </w:p>
        </w:tc>
        <w:tc>
          <w:tcPr>
            <w:tcW w:w="10915" w:type="dxa"/>
          </w:tcPr>
          <w:p w:rsidR="00320F98" w:rsidRPr="004574DC" w:rsidRDefault="00320F98" w:rsidP="00CA316F">
            <w:pPr>
              <w:rPr>
                <w:rFonts w:cs="Arial"/>
                <w:u w:val="single"/>
              </w:rPr>
            </w:pPr>
          </w:p>
        </w:tc>
      </w:tr>
      <w:tr w:rsidR="00320F98" w:rsidRPr="004574DC" w:rsidTr="004E1E05">
        <w:tc>
          <w:tcPr>
            <w:tcW w:w="3227" w:type="dxa"/>
          </w:tcPr>
          <w:p w:rsidR="00320F98" w:rsidRPr="004574DC" w:rsidRDefault="00320F98" w:rsidP="00CA316F">
            <w:pPr>
              <w:rPr>
                <w:rFonts w:cs="Arial"/>
                <w:b/>
              </w:rPr>
            </w:pPr>
            <w:r w:rsidRPr="004574DC">
              <w:rPr>
                <w:rFonts w:cs="Arial"/>
                <w:b/>
              </w:rPr>
              <w:t>Date of Assessment</w:t>
            </w:r>
          </w:p>
        </w:tc>
        <w:tc>
          <w:tcPr>
            <w:tcW w:w="10915" w:type="dxa"/>
          </w:tcPr>
          <w:p w:rsidR="00320F98" w:rsidRPr="004574DC" w:rsidRDefault="00320F98" w:rsidP="00CA316F">
            <w:pPr>
              <w:rPr>
                <w:rFonts w:cs="Arial"/>
                <w:u w:val="single"/>
              </w:rPr>
            </w:pPr>
          </w:p>
        </w:tc>
      </w:tr>
      <w:tr w:rsidR="00320F98" w:rsidRPr="004574DC" w:rsidTr="004E1E05">
        <w:tc>
          <w:tcPr>
            <w:tcW w:w="3227" w:type="dxa"/>
          </w:tcPr>
          <w:p w:rsidR="00320F98" w:rsidRPr="004574DC" w:rsidRDefault="00320F98" w:rsidP="00CA316F">
            <w:pPr>
              <w:rPr>
                <w:rFonts w:cs="Arial"/>
                <w:b/>
              </w:rPr>
            </w:pPr>
            <w:r w:rsidRPr="004574DC">
              <w:rPr>
                <w:rFonts w:cs="Arial"/>
                <w:b/>
              </w:rPr>
              <w:t xml:space="preserve">Date for Review  </w:t>
            </w:r>
          </w:p>
        </w:tc>
        <w:tc>
          <w:tcPr>
            <w:tcW w:w="10915" w:type="dxa"/>
          </w:tcPr>
          <w:p w:rsidR="00320F98" w:rsidRPr="004574DC" w:rsidRDefault="00320F98" w:rsidP="00CA316F">
            <w:pPr>
              <w:rPr>
                <w:rFonts w:cs="Arial"/>
                <w:u w:val="single"/>
              </w:rPr>
            </w:pPr>
          </w:p>
        </w:tc>
      </w:tr>
    </w:tbl>
    <w:p w:rsidR="00320F98" w:rsidRPr="004574DC" w:rsidRDefault="00320F98">
      <w:pPr>
        <w:rPr>
          <w:rFonts w:cs="Arial"/>
          <w:u w:val="single"/>
        </w:rPr>
      </w:pPr>
    </w:p>
    <w:tbl>
      <w:tblPr>
        <w:tblStyle w:val="TableGrid"/>
        <w:tblW w:w="14174" w:type="dxa"/>
        <w:tblLayout w:type="fixed"/>
        <w:tblLook w:val="04A0" w:firstRow="1" w:lastRow="0" w:firstColumn="1" w:lastColumn="0" w:noHBand="0" w:noVBand="1"/>
      </w:tblPr>
      <w:tblGrid>
        <w:gridCol w:w="1555"/>
        <w:gridCol w:w="1955"/>
        <w:gridCol w:w="1305"/>
        <w:gridCol w:w="1247"/>
        <w:gridCol w:w="1021"/>
        <w:gridCol w:w="1247"/>
        <w:gridCol w:w="3402"/>
        <w:gridCol w:w="992"/>
        <w:gridCol w:w="1450"/>
      </w:tblGrid>
      <w:tr w:rsidR="004E1E05" w:rsidRPr="004574DC" w:rsidTr="004E1CD5">
        <w:tc>
          <w:tcPr>
            <w:tcW w:w="1555" w:type="dxa"/>
            <w:shd w:val="clear" w:color="auto" w:fill="548DD4" w:themeFill="text2" w:themeFillTint="99"/>
          </w:tcPr>
          <w:p w:rsidR="00FD0FE8" w:rsidRPr="004574DC" w:rsidRDefault="00FD0FE8" w:rsidP="00FD0FE8">
            <w:pPr>
              <w:jc w:val="center"/>
              <w:rPr>
                <w:rFonts w:cs="Arial"/>
                <w:b/>
              </w:rPr>
            </w:pPr>
            <w:r w:rsidRPr="004574DC">
              <w:rPr>
                <w:rFonts w:cs="Arial"/>
                <w:b/>
              </w:rPr>
              <w:t>Risk Area</w:t>
            </w:r>
          </w:p>
        </w:tc>
        <w:tc>
          <w:tcPr>
            <w:tcW w:w="1955" w:type="dxa"/>
            <w:shd w:val="clear" w:color="auto" w:fill="548DD4" w:themeFill="text2" w:themeFillTint="99"/>
          </w:tcPr>
          <w:p w:rsidR="00FD0FE8" w:rsidRPr="004574DC" w:rsidRDefault="00FD0FE8" w:rsidP="00FD0FE8">
            <w:pPr>
              <w:jc w:val="center"/>
              <w:rPr>
                <w:rFonts w:cs="Arial"/>
                <w:b/>
              </w:rPr>
            </w:pPr>
            <w:r w:rsidRPr="004574DC">
              <w:rPr>
                <w:rFonts w:cs="Arial"/>
                <w:b/>
              </w:rPr>
              <w:t>Hazard</w:t>
            </w:r>
          </w:p>
        </w:tc>
        <w:tc>
          <w:tcPr>
            <w:tcW w:w="1305" w:type="dxa"/>
            <w:shd w:val="clear" w:color="auto" w:fill="548DD4" w:themeFill="text2" w:themeFillTint="99"/>
          </w:tcPr>
          <w:p w:rsidR="00FD0FE8" w:rsidRPr="004574DC" w:rsidRDefault="00FD0FE8" w:rsidP="00FD0FE8">
            <w:pPr>
              <w:jc w:val="center"/>
              <w:rPr>
                <w:rFonts w:cs="Arial"/>
                <w:b/>
              </w:rPr>
            </w:pPr>
            <w:r w:rsidRPr="004574DC">
              <w:rPr>
                <w:rFonts w:cs="Arial"/>
                <w:b/>
              </w:rPr>
              <w:t>Severity (A) 1-5</w:t>
            </w:r>
          </w:p>
        </w:tc>
        <w:tc>
          <w:tcPr>
            <w:tcW w:w="1247" w:type="dxa"/>
            <w:shd w:val="clear" w:color="auto" w:fill="548DD4" w:themeFill="text2" w:themeFillTint="99"/>
          </w:tcPr>
          <w:p w:rsidR="00FD0FE8" w:rsidRPr="004574DC" w:rsidRDefault="00FD0FE8" w:rsidP="00FD0FE8">
            <w:pPr>
              <w:jc w:val="center"/>
              <w:rPr>
                <w:rFonts w:cs="Arial"/>
                <w:b/>
              </w:rPr>
            </w:pPr>
            <w:r w:rsidRPr="004574DC">
              <w:rPr>
                <w:rFonts w:cs="Arial"/>
                <w:b/>
              </w:rPr>
              <w:t>Likelihood (B) 1-5</w:t>
            </w:r>
          </w:p>
        </w:tc>
        <w:tc>
          <w:tcPr>
            <w:tcW w:w="1021" w:type="dxa"/>
            <w:shd w:val="clear" w:color="auto" w:fill="548DD4" w:themeFill="text2" w:themeFillTint="99"/>
          </w:tcPr>
          <w:p w:rsidR="00FD0FE8" w:rsidRPr="004574DC" w:rsidRDefault="00FD0FE8" w:rsidP="00FD0FE8">
            <w:pPr>
              <w:jc w:val="center"/>
              <w:rPr>
                <w:rFonts w:cs="Arial"/>
                <w:b/>
              </w:rPr>
            </w:pPr>
            <w:r w:rsidRPr="004574DC">
              <w:rPr>
                <w:rFonts w:cs="Arial"/>
                <w:b/>
              </w:rPr>
              <w:t>Risk Rating</w:t>
            </w:r>
          </w:p>
          <w:p w:rsidR="00FD0FE8" w:rsidRPr="004574DC" w:rsidRDefault="00FD0FE8" w:rsidP="00FD0FE8">
            <w:pPr>
              <w:jc w:val="center"/>
              <w:rPr>
                <w:rFonts w:cs="Arial"/>
                <w:b/>
              </w:rPr>
            </w:pPr>
            <w:r w:rsidRPr="004574DC">
              <w:rPr>
                <w:rFonts w:cs="Arial"/>
                <w:b/>
              </w:rPr>
              <w:t>A x B</w:t>
            </w:r>
          </w:p>
        </w:tc>
        <w:tc>
          <w:tcPr>
            <w:tcW w:w="1247" w:type="dxa"/>
            <w:shd w:val="clear" w:color="auto" w:fill="548DD4" w:themeFill="text2" w:themeFillTint="99"/>
          </w:tcPr>
          <w:p w:rsidR="00FD0FE8" w:rsidRPr="004574DC" w:rsidRDefault="00FD0FE8" w:rsidP="00FD0FE8">
            <w:pPr>
              <w:jc w:val="center"/>
              <w:rPr>
                <w:rFonts w:cs="Arial"/>
                <w:b/>
              </w:rPr>
            </w:pPr>
            <w:r w:rsidRPr="004574DC">
              <w:rPr>
                <w:rFonts w:cs="Arial"/>
                <w:b/>
              </w:rPr>
              <w:t>Existing Measures</w:t>
            </w:r>
          </w:p>
        </w:tc>
        <w:tc>
          <w:tcPr>
            <w:tcW w:w="3402" w:type="dxa"/>
            <w:shd w:val="clear" w:color="auto" w:fill="548DD4" w:themeFill="text2" w:themeFillTint="99"/>
          </w:tcPr>
          <w:p w:rsidR="00FD0FE8" w:rsidRPr="004574DC" w:rsidRDefault="00FD0FE8" w:rsidP="00FD0FE8">
            <w:pPr>
              <w:jc w:val="center"/>
              <w:rPr>
                <w:rFonts w:cs="Arial"/>
                <w:b/>
              </w:rPr>
            </w:pPr>
            <w:r w:rsidRPr="004574DC">
              <w:rPr>
                <w:rFonts w:cs="Arial"/>
                <w:b/>
              </w:rPr>
              <w:t>Proposed Actions</w:t>
            </w:r>
          </w:p>
        </w:tc>
        <w:tc>
          <w:tcPr>
            <w:tcW w:w="992" w:type="dxa"/>
            <w:shd w:val="clear" w:color="auto" w:fill="548DD4" w:themeFill="text2" w:themeFillTint="99"/>
          </w:tcPr>
          <w:p w:rsidR="00FD0FE8" w:rsidRPr="004574DC" w:rsidRDefault="00FD0FE8" w:rsidP="00FD0FE8">
            <w:pPr>
              <w:jc w:val="center"/>
              <w:rPr>
                <w:rFonts w:cs="Arial"/>
                <w:b/>
              </w:rPr>
            </w:pPr>
            <w:r w:rsidRPr="004574DC">
              <w:rPr>
                <w:rFonts w:cs="Arial"/>
                <w:b/>
              </w:rPr>
              <w:t>Risk Owner</w:t>
            </w:r>
          </w:p>
        </w:tc>
        <w:tc>
          <w:tcPr>
            <w:tcW w:w="1450" w:type="dxa"/>
            <w:shd w:val="clear" w:color="auto" w:fill="548DD4" w:themeFill="text2" w:themeFillTint="99"/>
          </w:tcPr>
          <w:p w:rsidR="00FD0FE8" w:rsidRPr="004574DC" w:rsidRDefault="00FD0FE8" w:rsidP="00FD0FE8">
            <w:pPr>
              <w:jc w:val="center"/>
              <w:rPr>
                <w:rFonts w:cs="Arial"/>
                <w:b/>
              </w:rPr>
            </w:pPr>
            <w:r w:rsidRPr="004574DC">
              <w:rPr>
                <w:rFonts w:cs="Arial"/>
                <w:b/>
              </w:rPr>
              <w:t>Planned Completion Date</w:t>
            </w:r>
          </w:p>
        </w:tc>
      </w:tr>
      <w:tr w:rsidR="004E1E05" w:rsidRPr="004574DC" w:rsidTr="004E1CD5">
        <w:tc>
          <w:tcPr>
            <w:tcW w:w="1555" w:type="dxa"/>
            <w:vMerge w:val="restart"/>
          </w:tcPr>
          <w:p w:rsidR="00E12F03" w:rsidRPr="004574DC" w:rsidRDefault="00E12F03">
            <w:pPr>
              <w:rPr>
                <w:rFonts w:cs="Arial"/>
              </w:rPr>
            </w:pPr>
            <w:r w:rsidRPr="004574DC">
              <w:rPr>
                <w:rFonts w:cs="Arial"/>
              </w:rPr>
              <w:t xml:space="preserve">Safeguarding </w:t>
            </w: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p w:rsidR="00E12F03" w:rsidRPr="004574DC" w:rsidRDefault="00E12F03">
            <w:pPr>
              <w:rPr>
                <w:rFonts w:cs="Arial"/>
              </w:rPr>
            </w:pPr>
          </w:p>
        </w:tc>
        <w:tc>
          <w:tcPr>
            <w:tcW w:w="1955" w:type="dxa"/>
          </w:tcPr>
          <w:p w:rsidR="00E12F03" w:rsidRPr="004574DC" w:rsidRDefault="00E12F03" w:rsidP="00414121">
            <w:pPr>
              <w:rPr>
                <w:rFonts w:cs="Arial"/>
              </w:rPr>
            </w:pPr>
            <w:r w:rsidRPr="004574DC">
              <w:rPr>
                <w:rFonts w:cs="Arial"/>
              </w:rPr>
              <w:lastRenderedPageBreak/>
              <w:t xml:space="preserve">Staff are unaware of the Prevent agenda, or of radicalisation and extremism as safeguarding issues.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722A52" w:rsidRPr="004574DC" w:rsidRDefault="00722A52" w:rsidP="00D40128">
            <w:pPr>
              <w:rPr>
                <w:rFonts w:cs="Arial"/>
              </w:rPr>
            </w:pPr>
            <w:r w:rsidRPr="004574DC">
              <w:rPr>
                <w:rFonts w:cs="Arial"/>
              </w:rPr>
              <w:t>Familiarise staff</w:t>
            </w:r>
            <w:r w:rsidR="00E12F03" w:rsidRPr="004574DC">
              <w:rPr>
                <w:rFonts w:cs="Arial"/>
              </w:rPr>
              <w:t xml:space="preserve"> with the school’s safeguarding policy and radicalisation and the Channel process are included within it. Staff training around the policy. </w:t>
            </w:r>
          </w:p>
          <w:p w:rsidR="00E12F03" w:rsidRPr="004574DC" w:rsidRDefault="00722A52" w:rsidP="00722A52">
            <w:pPr>
              <w:rPr>
                <w:rFonts w:cs="Arial"/>
              </w:rPr>
            </w:pPr>
            <w:r w:rsidRPr="004574DC">
              <w:rPr>
                <w:rFonts w:cs="Arial"/>
              </w:rPr>
              <w:t>Make s</w:t>
            </w:r>
            <w:r w:rsidR="00E12F03" w:rsidRPr="004574DC">
              <w:rPr>
                <w:rFonts w:cs="Arial"/>
              </w:rPr>
              <w:t>taff aware of the implications of the Prevent duty in schools.</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rPr>
            </w:pPr>
          </w:p>
        </w:tc>
        <w:tc>
          <w:tcPr>
            <w:tcW w:w="1955" w:type="dxa"/>
          </w:tcPr>
          <w:p w:rsidR="00E12F03" w:rsidRPr="004574DC" w:rsidRDefault="00E12F03" w:rsidP="003B4982">
            <w:pPr>
              <w:rPr>
                <w:rFonts w:cs="Arial"/>
              </w:rPr>
            </w:pPr>
            <w:r w:rsidRPr="004574DC">
              <w:rPr>
                <w:rFonts w:cs="Arial"/>
              </w:rPr>
              <w:t xml:space="preserve">Staff are unaware of school procedure for handling concerns. </w:t>
            </w:r>
            <w:proofErr w:type="gramStart"/>
            <w:r w:rsidRPr="004574DC">
              <w:rPr>
                <w:rFonts w:cs="Arial"/>
              </w:rPr>
              <w:t>Or</w:t>
            </w:r>
            <w:proofErr w:type="gramEnd"/>
            <w:r w:rsidRPr="004574DC">
              <w:rPr>
                <w:rFonts w:cs="Arial"/>
              </w:rPr>
              <w:t xml:space="preserve">, staff are reluctant to raise </w:t>
            </w:r>
            <w:r w:rsidRPr="004574DC">
              <w:rPr>
                <w:rFonts w:cs="Arial"/>
              </w:rPr>
              <w:lastRenderedPageBreak/>
              <w:t>concerns in relation to extremism/ radicalisation.</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rsidP="00722A52">
            <w:pPr>
              <w:rPr>
                <w:rFonts w:cs="Arial"/>
              </w:rPr>
            </w:pPr>
            <w:r w:rsidRPr="004574DC">
              <w:rPr>
                <w:rFonts w:cs="Arial"/>
              </w:rPr>
              <w:t xml:space="preserve">Staff </w:t>
            </w:r>
            <w:r w:rsidR="00722A52" w:rsidRPr="004574DC">
              <w:rPr>
                <w:rFonts w:cs="Arial"/>
              </w:rPr>
              <w:t>training</w:t>
            </w:r>
            <w:r w:rsidRPr="004574DC">
              <w:rPr>
                <w:rFonts w:cs="Arial"/>
              </w:rPr>
              <w:t xml:space="preserve"> around safeguarding policy to ensure that they are comfortable sharing concerns around radicalisation and extremism and they are aware of how to do so. </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rPr>
            </w:pPr>
          </w:p>
        </w:tc>
        <w:tc>
          <w:tcPr>
            <w:tcW w:w="1955" w:type="dxa"/>
          </w:tcPr>
          <w:p w:rsidR="00E12F03" w:rsidRPr="004574DC" w:rsidRDefault="00E12F03" w:rsidP="00414121">
            <w:pPr>
              <w:rPr>
                <w:rFonts w:cs="Arial"/>
              </w:rPr>
            </w:pPr>
            <w:r w:rsidRPr="004574DC">
              <w:rPr>
                <w:rFonts w:cs="Arial"/>
              </w:rPr>
              <w:t>Staff are unsure/unaware of how to identify children at risk of radicalisation.</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rsidP="00E12F03">
            <w:pPr>
              <w:rPr>
                <w:rFonts w:cs="Arial"/>
              </w:rPr>
            </w:pPr>
            <w:r w:rsidRPr="004574DC">
              <w:rPr>
                <w:rFonts w:cs="Arial"/>
              </w:rPr>
              <w:t>Staff attend an education WRAP training session, to increase their understanding of vulnerabilities and the risks around radicalisation.</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rPr>
            </w:pPr>
          </w:p>
        </w:tc>
        <w:tc>
          <w:tcPr>
            <w:tcW w:w="1955" w:type="dxa"/>
          </w:tcPr>
          <w:p w:rsidR="00E12F03" w:rsidRPr="004574DC" w:rsidRDefault="00E12F03" w:rsidP="00347F29">
            <w:pPr>
              <w:rPr>
                <w:rFonts w:cs="Arial"/>
              </w:rPr>
            </w:pPr>
            <w:r w:rsidRPr="004574DC">
              <w:rPr>
                <w:rFonts w:cs="Arial"/>
              </w:rPr>
              <w:t xml:space="preserve">Staff do not feel confident about raising concerns about risks to pupil safety.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rsidP="00D40128">
            <w:pPr>
              <w:rPr>
                <w:rFonts w:cs="Arial"/>
              </w:rPr>
            </w:pPr>
            <w:r w:rsidRPr="004574DC">
              <w:rPr>
                <w:rFonts w:cs="Arial"/>
              </w:rPr>
              <w:t>Inclusion of a whistleblowing mechanism within the safeguarding process.</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rPr>
            </w:pPr>
          </w:p>
        </w:tc>
        <w:tc>
          <w:tcPr>
            <w:tcW w:w="1955" w:type="dxa"/>
          </w:tcPr>
          <w:p w:rsidR="00E12F03" w:rsidRPr="004574DC" w:rsidRDefault="00E12F03" w:rsidP="00414121">
            <w:pPr>
              <w:rPr>
                <w:rFonts w:cs="Arial"/>
              </w:rPr>
            </w:pPr>
            <w:r w:rsidRPr="004574DC">
              <w:rPr>
                <w:rFonts w:cs="Arial"/>
              </w:rPr>
              <w:t>Risk to students in external learning environments/ students working with sub-contracted education providers</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rsidP="00D40128">
            <w:pPr>
              <w:rPr>
                <w:rFonts w:cs="Arial"/>
              </w:rPr>
            </w:pPr>
            <w:r w:rsidRPr="004574DC">
              <w:rPr>
                <w:rFonts w:cs="Arial"/>
              </w:rPr>
              <w:t>Sub-contracted education providers are included within safeguarding procedures.</w:t>
            </w:r>
          </w:p>
          <w:p w:rsidR="00722A52" w:rsidRPr="004574DC" w:rsidRDefault="00722A52" w:rsidP="00D40128">
            <w:pPr>
              <w:rPr>
                <w:rFonts w:cs="Arial"/>
              </w:rPr>
            </w:pPr>
            <w:r w:rsidRPr="004574DC">
              <w:rPr>
                <w:rFonts w:cs="Arial"/>
              </w:rPr>
              <w:t>Sub-contractors required to understand Prevent and extremism and radicalisation risks</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val="restart"/>
          </w:tcPr>
          <w:p w:rsidR="00E12F03" w:rsidRPr="004574DC" w:rsidRDefault="00E12F03">
            <w:pPr>
              <w:rPr>
                <w:rFonts w:cs="Arial"/>
              </w:rPr>
            </w:pPr>
            <w:r w:rsidRPr="004574DC">
              <w:rPr>
                <w:rFonts w:cs="Arial"/>
              </w:rPr>
              <w:t xml:space="preserve">Leadership / Organisational Values </w:t>
            </w:r>
          </w:p>
        </w:tc>
        <w:tc>
          <w:tcPr>
            <w:tcW w:w="1955" w:type="dxa"/>
          </w:tcPr>
          <w:p w:rsidR="00E12F03" w:rsidRPr="004574DC" w:rsidRDefault="00E12F03">
            <w:pPr>
              <w:rPr>
                <w:rFonts w:cs="Arial"/>
              </w:rPr>
            </w:pPr>
            <w:r w:rsidRPr="004574DC">
              <w:rPr>
                <w:rFonts w:cs="Arial"/>
              </w:rPr>
              <w:t xml:space="preserve">Staff are not aware/ do not subscribe to the ethos/values of the school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722A52" w:rsidP="00E12F03">
            <w:pPr>
              <w:rPr>
                <w:rFonts w:cs="Arial"/>
              </w:rPr>
            </w:pPr>
            <w:r w:rsidRPr="004574DC">
              <w:rPr>
                <w:rFonts w:cs="Arial"/>
              </w:rPr>
              <w:t>Review r</w:t>
            </w:r>
            <w:r w:rsidR="00E12F03" w:rsidRPr="004574DC">
              <w:rPr>
                <w:rFonts w:cs="Arial"/>
              </w:rPr>
              <w:t>ecruitment and induction programmes and o</w:t>
            </w:r>
            <w:r w:rsidRPr="004574DC">
              <w:rPr>
                <w:rFonts w:cs="Arial"/>
              </w:rPr>
              <w:t xml:space="preserve">ngoing staff development to ensure they </w:t>
            </w:r>
            <w:r w:rsidR="00E12F03" w:rsidRPr="004574DC">
              <w:rPr>
                <w:rFonts w:cs="Arial"/>
              </w:rPr>
              <w:t xml:space="preserve">reflect the values of the school. </w:t>
            </w:r>
          </w:p>
          <w:tbl>
            <w:tblPr>
              <w:tblW w:w="10650" w:type="dxa"/>
              <w:tblLayout w:type="fixed"/>
              <w:tblCellMar>
                <w:left w:w="0" w:type="dxa"/>
                <w:right w:w="0" w:type="dxa"/>
              </w:tblCellMar>
              <w:tblLook w:val="00A0" w:firstRow="1" w:lastRow="0" w:firstColumn="1" w:lastColumn="0" w:noHBand="0" w:noVBand="0"/>
            </w:tblPr>
            <w:tblGrid>
              <w:gridCol w:w="1136"/>
              <w:gridCol w:w="1278"/>
              <w:gridCol w:w="710"/>
              <w:gridCol w:w="1846"/>
              <w:gridCol w:w="568"/>
              <w:gridCol w:w="1562"/>
              <w:gridCol w:w="426"/>
              <w:gridCol w:w="3124"/>
            </w:tblGrid>
            <w:tr w:rsidR="00E12F03" w:rsidRPr="004574DC" w:rsidTr="004E1E05">
              <w:tc>
                <w:tcPr>
                  <w:tcW w:w="1136" w:type="dxa"/>
                  <w:tcMar>
                    <w:right w:w="0" w:type="dxa"/>
                  </w:tcMar>
                </w:tcPr>
                <w:p w:rsidR="00E12F03" w:rsidRPr="004574DC" w:rsidRDefault="00E12F03" w:rsidP="00506C87"/>
              </w:tc>
              <w:tc>
                <w:tcPr>
                  <w:tcW w:w="1278" w:type="dxa"/>
                </w:tcPr>
                <w:p w:rsidR="00E12F03" w:rsidRPr="004574DC" w:rsidRDefault="00E12F03" w:rsidP="00506C87"/>
              </w:tc>
              <w:tc>
                <w:tcPr>
                  <w:tcW w:w="710" w:type="dxa"/>
                </w:tcPr>
                <w:p w:rsidR="00E12F03" w:rsidRPr="004574DC" w:rsidRDefault="00E12F03" w:rsidP="00506C87"/>
              </w:tc>
              <w:tc>
                <w:tcPr>
                  <w:tcW w:w="1846" w:type="dxa"/>
                </w:tcPr>
                <w:p w:rsidR="00E12F03" w:rsidRPr="004574DC" w:rsidRDefault="00E12F03" w:rsidP="00506C87"/>
              </w:tc>
              <w:tc>
                <w:tcPr>
                  <w:tcW w:w="568" w:type="dxa"/>
                </w:tcPr>
                <w:p w:rsidR="00E12F03" w:rsidRPr="004574DC" w:rsidRDefault="00E12F03" w:rsidP="00506C87"/>
              </w:tc>
              <w:tc>
                <w:tcPr>
                  <w:tcW w:w="1562" w:type="dxa"/>
                </w:tcPr>
                <w:p w:rsidR="00E12F03" w:rsidRPr="004574DC" w:rsidRDefault="00E12F03" w:rsidP="00506C87"/>
              </w:tc>
              <w:tc>
                <w:tcPr>
                  <w:tcW w:w="426" w:type="dxa"/>
                </w:tcPr>
                <w:p w:rsidR="00E12F03" w:rsidRPr="004574DC" w:rsidRDefault="00E12F03" w:rsidP="00506C87"/>
              </w:tc>
              <w:tc>
                <w:tcPr>
                  <w:tcW w:w="3124" w:type="dxa"/>
                  <w:vAlign w:val="center"/>
                </w:tcPr>
                <w:p w:rsidR="00E12F03" w:rsidRPr="004574DC" w:rsidRDefault="00E12F03" w:rsidP="00506C87"/>
              </w:tc>
            </w:tr>
          </w:tbl>
          <w:p w:rsidR="00E12F03" w:rsidRPr="004574DC" w:rsidRDefault="00E12F03" w:rsidP="00E12F03">
            <w:pPr>
              <w:rPr>
                <w:rFonts w:cs="Arial"/>
              </w:rPr>
            </w:pP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u w:val="single"/>
              </w:rPr>
            </w:pPr>
          </w:p>
        </w:tc>
        <w:tc>
          <w:tcPr>
            <w:tcW w:w="1955" w:type="dxa"/>
          </w:tcPr>
          <w:p w:rsidR="00E12F03" w:rsidRPr="004574DC" w:rsidRDefault="00E12F03" w:rsidP="005D4366">
            <w:pPr>
              <w:rPr>
                <w:rFonts w:cs="Arial"/>
              </w:rPr>
            </w:pPr>
            <w:r w:rsidRPr="004574DC">
              <w:rPr>
                <w:rFonts w:cs="Arial"/>
              </w:rPr>
              <w:t>A whole school approach to British Values is not taken</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722A52" w:rsidRPr="004574DC" w:rsidRDefault="00E12F03">
            <w:pPr>
              <w:rPr>
                <w:rFonts w:cs="Arial"/>
              </w:rPr>
            </w:pPr>
            <w:r w:rsidRPr="004574DC">
              <w:rPr>
                <w:rFonts w:cs="Arial"/>
              </w:rPr>
              <w:t xml:space="preserve">The inclusion of British values within the schools ethos/ mission statement. </w:t>
            </w:r>
          </w:p>
          <w:p w:rsidR="00E12F03" w:rsidRPr="004574DC" w:rsidRDefault="00E12F03" w:rsidP="00722A52">
            <w:pPr>
              <w:rPr>
                <w:rFonts w:cs="Arial"/>
              </w:rPr>
            </w:pPr>
            <w:r w:rsidRPr="004574DC">
              <w:rPr>
                <w:rFonts w:cs="Arial"/>
              </w:rPr>
              <w:t>Active</w:t>
            </w:r>
            <w:r w:rsidR="00722A52" w:rsidRPr="004574DC">
              <w:rPr>
                <w:rFonts w:cs="Arial"/>
              </w:rPr>
              <w:t>ly promote</w:t>
            </w:r>
            <w:r w:rsidRPr="004574DC">
              <w:rPr>
                <w:rFonts w:cs="Arial"/>
              </w:rPr>
              <w:t xml:space="preserve"> of British values at leadership level.</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u w:val="single"/>
              </w:rPr>
            </w:pPr>
          </w:p>
        </w:tc>
        <w:tc>
          <w:tcPr>
            <w:tcW w:w="1955" w:type="dxa"/>
          </w:tcPr>
          <w:p w:rsidR="00E12F03" w:rsidRPr="004574DC" w:rsidRDefault="00E12F03">
            <w:pPr>
              <w:rPr>
                <w:rFonts w:cs="Arial"/>
              </w:rPr>
            </w:pPr>
            <w:r w:rsidRPr="004574DC">
              <w:rPr>
                <w:rFonts w:cs="Arial"/>
              </w:rPr>
              <w:t>Lack of leadership ownership of extremism/</w:t>
            </w:r>
            <w:r w:rsidR="00722A52" w:rsidRPr="004574DC">
              <w:rPr>
                <w:rFonts w:cs="Arial"/>
              </w:rPr>
              <w:t xml:space="preserve"> </w:t>
            </w:r>
            <w:r w:rsidRPr="004574DC">
              <w:rPr>
                <w:rFonts w:cs="Arial"/>
              </w:rPr>
              <w:t>radicalisation concerns and lack of leadership oversight</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722A52" w:rsidP="00722A52">
            <w:pPr>
              <w:rPr>
                <w:rFonts w:cs="Arial"/>
              </w:rPr>
            </w:pPr>
            <w:r w:rsidRPr="004574DC">
              <w:rPr>
                <w:rFonts w:cs="Arial"/>
              </w:rPr>
              <w:t>Appoint k</w:t>
            </w:r>
            <w:r w:rsidR="00E12F03" w:rsidRPr="004574DC">
              <w:rPr>
                <w:rFonts w:cs="Arial"/>
              </w:rPr>
              <w:t>ey individu</w:t>
            </w:r>
            <w:r w:rsidRPr="004574DC">
              <w:rPr>
                <w:rFonts w:cs="Arial"/>
              </w:rPr>
              <w:t>als</w:t>
            </w:r>
            <w:r w:rsidR="00E12F03" w:rsidRPr="004574DC">
              <w:rPr>
                <w:rFonts w:cs="Arial"/>
              </w:rPr>
              <w:t xml:space="preserve"> (governors, management) with responsibility for safeguarding, and understanding risks around radicalisation/ extremism</w:t>
            </w:r>
          </w:p>
          <w:p w:rsidR="00722A52" w:rsidRPr="004574DC" w:rsidRDefault="00722A52" w:rsidP="00722A52">
            <w:pPr>
              <w:rPr>
                <w:rFonts w:cs="Arial"/>
              </w:rPr>
            </w:pPr>
            <w:r w:rsidRPr="004574DC">
              <w:rPr>
                <w:rFonts w:cs="Arial"/>
              </w:rPr>
              <w:t>Arrange suitable training on extremism and radicalisation for Governors</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u w:val="single"/>
              </w:rPr>
            </w:pPr>
          </w:p>
        </w:tc>
        <w:tc>
          <w:tcPr>
            <w:tcW w:w="1955" w:type="dxa"/>
          </w:tcPr>
          <w:p w:rsidR="00E12F03" w:rsidRPr="004574DC" w:rsidRDefault="00E12F03" w:rsidP="00E24790">
            <w:pPr>
              <w:rPr>
                <w:rFonts w:cs="Arial"/>
              </w:rPr>
            </w:pPr>
            <w:r w:rsidRPr="004574DC">
              <w:rPr>
                <w:rFonts w:cs="Arial"/>
              </w:rPr>
              <w:t xml:space="preserve">Compliance with the Prevent Duty is unsatisfactory  </w:t>
            </w:r>
          </w:p>
        </w:tc>
        <w:tc>
          <w:tcPr>
            <w:tcW w:w="1305" w:type="dxa"/>
          </w:tcPr>
          <w:p w:rsidR="00E12F03" w:rsidRPr="004574DC" w:rsidRDefault="00E12F03">
            <w:pPr>
              <w:rPr>
                <w:rFonts w:cs="Arial"/>
                <w:u w:val="single"/>
              </w:rPr>
            </w:pPr>
            <w:r w:rsidRPr="004574DC">
              <w:rPr>
                <w:rFonts w:cs="Arial"/>
                <w:u w:val="single"/>
              </w:rPr>
              <w:t xml:space="preserve">  </w:t>
            </w: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rsidP="00C25D98">
            <w:pPr>
              <w:rPr>
                <w:rFonts w:cs="Arial"/>
              </w:rPr>
            </w:pPr>
            <w:r w:rsidRPr="004574DC">
              <w:rPr>
                <w:rFonts w:cs="Arial"/>
              </w:rPr>
              <w:t xml:space="preserve">Completion of risk assessment in relation to risks and vulnerabilities within the school, the local area and for individuals. </w:t>
            </w:r>
          </w:p>
          <w:p w:rsidR="00722A52" w:rsidRPr="004574DC" w:rsidRDefault="00722A52" w:rsidP="00C25D98">
            <w:pPr>
              <w:rPr>
                <w:rFonts w:cs="Arial"/>
              </w:rPr>
            </w:pPr>
            <w:r w:rsidRPr="004574DC">
              <w:rPr>
                <w:rFonts w:cs="Arial"/>
              </w:rPr>
              <w:t>Develop action plan to ensure a proportionate response to those risks</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val="restart"/>
          </w:tcPr>
          <w:p w:rsidR="00E12F03" w:rsidRPr="004574DC" w:rsidRDefault="00E12F03" w:rsidP="0049507A">
            <w:pPr>
              <w:rPr>
                <w:rFonts w:cs="Arial"/>
              </w:rPr>
            </w:pPr>
            <w:r w:rsidRPr="004574DC">
              <w:rPr>
                <w:rFonts w:cs="Arial"/>
              </w:rPr>
              <w:t>Partnership</w:t>
            </w:r>
          </w:p>
          <w:p w:rsidR="00E12F03" w:rsidRPr="004574DC" w:rsidRDefault="00E12F03">
            <w:pPr>
              <w:rPr>
                <w:rFonts w:cs="Arial"/>
                <w:u w:val="single"/>
              </w:rPr>
            </w:pPr>
          </w:p>
        </w:tc>
        <w:tc>
          <w:tcPr>
            <w:tcW w:w="1955" w:type="dxa"/>
          </w:tcPr>
          <w:p w:rsidR="00E12F03" w:rsidRPr="004574DC" w:rsidRDefault="00E12F03" w:rsidP="004A2285">
            <w:pPr>
              <w:rPr>
                <w:rFonts w:cs="Arial"/>
              </w:rPr>
            </w:pPr>
            <w:r w:rsidRPr="004574DC">
              <w:rPr>
                <w:rFonts w:cs="Arial"/>
              </w:rPr>
              <w:t xml:space="preserve">Ineffective process and lack of coordination around sharing of concerns re: radicalisation and extremism.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pPr>
              <w:rPr>
                <w:rFonts w:cs="Arial"/>
              </w:rPr>
            </w:pPr>
            <w:r w:rsidRPr="004574DC">
              <w:rPr>
                <w:rFonts w:cs="Arial"/>
              </w:rPr>
              <w:t xml:space="preserve">Staff are aware of internal </w:t>
            </w:r>
            <w:proofErr w:type="spellStart"/>
            <w:r w:rsidRPr="004574DC">
              <w:rPr>
                <w:rFonts w:cs="Arial"/>
              </w:rPr>
              <w:t>SPoC</w:t>
            </w:r>
            <w:proofErr w:type="spellEnd"/>
            <w:r w:rsidRPr="004574DC">
              <w:rPr>
                <w:rFonts w:cs="Arial"/>
              </w:rPr>
              <w:t xml:space="preserve"> for radicalisation/extremism concerns and enquiries.</w:t>
            </w:r>
          </w:p>
          <w:p w:rsidR="00503CE3" w:rsidRPr="004574DC" w:rsidRDefault="00503CE3">
            <w:pPr>
              <w:rPr>
                <w:rFonts w:cs="Arial"/>
              </w:rPr>
            </w:pPr>
            <w:r w:rsidRPr="004574DC">
              <w:rPr>
                <w:rFonts w:cs="Arial"/>
              </w:rPr>
              <w:t>Utilise existing safeguarding referral pathways</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rsidP="0049507A">
            <w:pPr>
              <w:rPr>
                <w:rFonts w:cs="Arial"/>
                <w:u w:val="single"/>
              </w:rPr>
            </w:pPr>
          </w:p>
        </w:tc>
        <w:tc>
          <w:tcPr>
            <w:tcW w:w="1955" w:type="dxa"/>
          </w:tcPr>
          <w:p w:rsidR="00E12F03" w:rsidRPr="004574DC" w:rsidRDefault="00E12F03">
            <w:pPr>
              <w:rPr>
                <w:rFonts w:cs="Arial"/>
              </w:rPr>
            </w:pPr>
            <w:r w:rsidRPr="004574DC">
              <w:rPr>
                <w:rFonts w:cs="Arial"/>
              </w:rPr>
              <w:t xml:space="preserve">School unaware of how to access statutory assistance to support vulnerable individuals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rsidP="00503CE3">
            <w:pPr>
              <w:rPr>
                <w:rFonts w:cs="Arial"/>
              </w:rPr>
            </w:pPr>
            <w:r w:rsidRPr="004574DC">
              <w:rPr>
                <w:rFonts w:cs="Arial"/>
              </w:rPr>
              <w:t>Develop links between schools and external partners including LSCB and LA Prevent teams.</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rsidP="0049507A">
            <w:pPr>
              <w:rPr>
                <w:rFonts w:cs="Arial"/>
                <w:u w:val="single"/>
              </w:rPr>
            </w:pPr>
          </w:p>
        </w:tc>
        <w:tc>
          <w:tcPr>
            <w:tcW w:w="1955" w:type="dxa"/>
          </w:tcPr>
          <w:p w:rsidR="00E12F03" w:rsidRPr="004574DC" w:rsidRDefault="00E12F03">
            <w:pPr>
              <w:rPr>
                <w:rFonts w:cs="Arial"/>
              </w:rPr>
            </w:pPr>
            <w:r w:rsidRPr="004574DC">
              <w:rPr>
                <w:rFonts w:cs="Arial"/>
              </w:rPr>
              <w:t>School has limited access to resources/</w:t>
            </w:r>
            <w:r w:rsidR="00503CE3" w:rsidRPr="004574DC">
              <w:rPr>
                <w:rFonts w:cs="Arial"/>
              </w:rPr>
              <w:t xml:space="preserve"> </w:t>
            </w:r>
            <w:r w:rsidRPr="004574DC">
              <w:rPr>
                <w:rFonts w:cs="Arial"/>
              </w:rPr>
              <w:t>best practice.</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pPr>
              <w:rPr>
                <w:rFonts w:cs="Arial"/>
              </w:rPr>
            </w:pPr>
            <w:r w:rsidRPr="004574DC">
              <w:rPr>
                <w:rFonts w:cs="Arial"/>
              </w:rPr>
              <w:t xml:space="preserve">Utilise existing links with local schools to share information and best practice in relation to the Prevent agenda. </w:t>
            </w:r>
          </w:p>
          <w:p w:rsidR="00E12F03" w:rsidRPr="004574DC" w:rsidRDefault="00E12F03" w:rsidP="00E12F03">
            <w:pPr>
              <w:rPr>
                <w:rFonts w:cs="Arial"/>
              </w:rPr>
            </w:pP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val="restart"/>
          </w:tcPr>
          <w:p w:rsidR="00E12F03" w:rsidRPr="004574DC" w:rsidRDefault="00E12F03">
            <w:pPr>
              <w:rPr>
                <w:rFonts w:cs="Arial"/>
              </w:rPr>
            </w:pPr>
            <w:r w:rsidRPr="004574DC">
              <w:rPr>
                <w:rFonts w:cs="Arial"/>
              </w:rPr>
              <w:lastRenderedPageBreak/>
              <w:t xml:space="preserve">Learning and teaching </w:t>
            </w:r>
          </w:p>
        </w:tc>
        <w:tc>
          <w:tcPr>
            <w:tcW w:w="1955" w:type="dxa"/>
          </w:tcPr>
          <w:p w:rsidR="00E12F03" w:rsidRPr="004574DC" w:rsidRDefault="00E12F03" w:rsidP="00D367D6">
            <w:pPr>
              <w:rPr>
                <w:rFonts w:cs="Arial"/>
              </w:rPr>
            </w:pPr>
            <w:r w:rsidRPr="004574DC">
              <w:rPr>
                <w:rFonts w:cs="Arial"/>
              </w:rPr>
              <w:t xml:space="preserve">British values are considered only superficially with no opportunity within the school for for pupils to engage and/or experience them.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503CE3" w:rsidRPr="004574DC" w:rsidRDefault="00E12F03" w:rsidP="00DC71DA">
            <w:pPr>
              <w:rPr>
                <w:rFonts w:cs="Arial"/>
              </w:rPr>
            </w:pPr>
            <w:r w:rsidRPr="004574DC">
              <w:rPr>
                <w:rFonts w:cs="Arial"/>
              </w:rPr>
              <w:t xml:space="preserve">British values are taught across the curriculum and are embedded in learning. Opportunities to promote values are identified and utilised within the curriculum and within enrichment activities. </w:t>
            </w:r>
          </w:p>
          <w:p w:rsidR="00E12F03" w:rsidRPr="004574DC" w:rsidRDefault="00E12F03" w:rsidP="00DC71DA">
            <w:pPr>
              <w:rPr>
                <w:rFonts w:cs="Arial"/>
              </w:rPr>
            </w:pPr>
            <w:r w:rsidRPr="004574DC">
              <w:rPr>
                <w:rFonts w:cs="Arial"/>
              </w:rPr>
              <w:t xml:space="preserve">Pupils ‘acceptance and engagement’ with British values developed through  opportunities  to practically experience how the values might apply in day to day life, for example, through mock elections, a school council or visits to faith institutions.  </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u w:val="single"/>
              </w:rPr>
            </w:pPr>
          </w:p>
        </w:tc>
        <w:tc>
          <w:tcPr>
            <w:tcW w:w="1955" w:type="dxa"/>
          </w:tcPr>
          <w:p w:rsidR="00E12F03" w:rsidRPr="004574DC" w:rsidRDefault="00E12F03">
            <w:pPr>
              <w:rPr>
                <w:rFonts w:cs="Arial"/>
              </w:rPr>
            </w:pPr>
            <w:r w:rsidRPr="004574DC">
              <w:rPr>
                <w:rFonts w:cs="Arial"/>
              </w:rPr>
              <w:t>There are known risks of radic</w:t>
            </w:r>
            <w:r w:rsidR="00503CE3" w:rsidRPr="004574DC">
              <w:rPr>
                <w:rFonts w:cs="Arial"/>
              </w:rPr>
              <w:t>alisation in relation to school-</w:t>
            </w:r>
            <w:r w:rsidRPr="004574DC">
              <w:rPr>
                <w:rFonts w:cs="Arial"/>
              </w:rPr>
              <w:t xml:space="preserve">aged children and young people are may be more susceptible to extremist messaging. </w:t>
            </w:r>
          </w:p>
          <w:p w:rsidR="00E12F03" w:rsidRPr="004574DC" w:rsidRDefault="00E12F03">
            <w:pPr>
              <w:rPr>
                <w:rFonts w:cs="Arial"/>
              </w:rPr>
            </w:pPr>
          </w:p>
        </w:tc>
        <w:tc>
          <w:tcPr>
            <w:tcW w:w="1305" w:type="dxa"/>
          </w:tcPr>
          <w:p w:rsidR="00E12F03" w:rsidRPr="004574DC" w:rsidRDefault="00E12F03" w:rsidP="00DC71DA">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rPr>
            </w:pPr>
          </w:p>
        </w:tc>
        <w:tc>
          <w:tcPr>
            <w:tcW w:w="3402" w:type="dxa"/>
          </w:tcPr>
          <w:p w:rsidR="00E12F03" w:rsidRPr="004574DC" w:rsidRDefault="00E12F03" w:rsidP="00DC71DA">
            <w:pPr>
              <w:rPr>
                <w:rFonts w:cs="Arial"/>
              </w:rPr>
            </w:pPr>
            <w:r w:rsidRPr="004574DC">
              <w:rPr>
                <w:rFonts w:cs="Arial"/>
              </w:rPr>
              <w:t xml:space="preserve">Include activities within existing lesson structure to enhance student resilience and to develop student’s critical thinking skills. </w:t>
            </w:r>
          </w:p>
          <w:p w:rsidR="00503CE3" w:rsidRPr="004574DC" w:rsidRDefault="00E12F03">
            <w:pPr>
              <w:rPr>
                <w:rFonts w:cs="Arial"/>
              </w:rPr>
            </w:pPr>
            <w:r w:rsidRPr="004574DC">
              <w:rPr>
                <w:rFonts w:cs="Arial"/>
              </w:rPr>
              <w:t xml:space="preserve">Raise awareness amongst students about the importance of critical thinking skills. </w:t>
            </w:r>
          </w:p>
          <w:p w:rsidR="00E12F03" w:rsidRPr="004574DC" w:rsidRDefault="00E12F03">
            <w:pPr>
              <w:rPr>
                <w:rFonts w:cs="Arial"/>
              </w:rPr>
            </w:pPr>
            <w:r w:rsidRPr="004574DC">
              <w:rPr>
                <w:rFonts w:cs="Arial"/>
              </w:rPr>
              <w:t xml:space="preserve">Ensure that students are confident in verifying the validity of information, for example, by considering its origin, and that students understand why it is important to do so. </w:t>
            </w:r>
          </w:p>
          <w:p w:rsidR="00E12F03" w:rsidRPr="004574DC" w:rsidRDefault="00E12F03" w:rsidP="00E12F03">
            <w:pPr>
              <w:rPr>
                <w:rFonts w:cs="Arial"/>
              </w:rPr>
            </w:pP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val="restart"/>
          </w:tcPr>
          <w:p w:rsidR="00E12F03" w:rsidRPr="004574DC" w:rsidRDefault="00E12F03" w:rsidP="00D46912">
            <w:pPr>
              <w:rPr>
                <w:rFonts w:cs="Arial"/>
              </w:rPr>
            </w:pPr>
            <w:r w:rsidRPr="004574DC">
              <w:rPr>
                <w:rFonts w:cs="Arial"/>
              </w:rPr>
              <w:t xml:space="preserve">Space management and </w:t>
            </w:r>
          </w:p>
          <w:p w:rsidR="00E12F03" w:rsidRPr="004574DC" w:rsidRDefault="00E12F03" w:rsidP="00D46912">
            <w:pPr>
              <w:rPr>
                <w:rFonts w:cs="Arial"/>
                <w:u w:val="single"/>
              </w:rPr>
            </w:pPr>
            <w:r w:rsidRPr="004574DC">
              <w:rPr>
                <w:rFonts w:cs="Arial"/>
              </w:rPr>
              <w:t xml:space="preserve">School environment </w:t>
            </w:r>
          </w:p>
          <w:p w:rsidR="00E12F03" w:rsidRPr="004574DC" w:rsidRDefault="00E12F03" w:rsidP="00506C87">
            <w:pPr>
              <w:rPr>
                <w:rFonts w:cs="Arial"/>
                <w:u w:val="single"/>
              </w:rPr>
            </w:pPr>
            <w:r w:rsidRPr="004574DC">
              <w:rPr>
                <w:rFonts w:cs="Arial"/>
                <w:u w:val="single"/>
              </w:rPr>
              <w:lastRenderedPageBreak/>
              <w:t xml:space="preserve"> </w:t>
            </w:r>
          </w:p>
        </w:tc>
        <w:tc>
          <w:tcPr>
            <w:tcW w:w="1955" w:type="dxa"/>
          </w:tcPr>
          <w:p w:rsidR="00E12F03" w:rsidRPr="004574DC" w:rsidRDefault="00E12F03">
            <w:pPr>
              <w:rPr>
                <w:rFonts w:cs="Arial"/>
              </w:rPr>
            </w:pPr>
            <w:r w:rsidRPr="004574DC">
              <w:rPr>
                <w:rFonts w:cs="Arial"/>
              </w:rPr>
              <w:lastRenderedPageBreak/>
              <w:t xml:space="preserve">Pupils are accessing inappropriate or extremist content online, using </w:t>
            </w:r>
            <w:r w:rsidRPr="004574DC">
              <w:rPr>
                <w:rFonts w:cs="Arial"/>
              </w:rPr>
              <w:lastRenderedPageBreak/>
              <w:t xml:space="preserve">school facilities and servers. Or, in the course of undertaking legitimate research, pupils are exposed to extremist content or material online. </w:t>
            </w:r>
          </w:p>
          <w:p w:rsidR="00E12F03" w:rsidRPr="004574DC" w:rsidRDefault="00E12F03">
            <w:pPr>
              <w:rPr>
                <w:rFonts w:cs="Arial"/>
              </w:rPr>
            </w:pP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rsidP="00182CC5">
            <w:pPr>
              <w:rPr>
                <w:rFonts w:cs="Arial"/>
              </w:rPr>
            </w:pPr>
            <w:r w:rsidRPr="004574DC">
              <w:rPr>
                <w:rFonts w:cs="Arial"/>
              </w:rPr>
              <w:t xml:space="preserve">Inclusion of the </w:t>
            </w:r>
            <w:r w:rsidR="00503CE3" w:rsidRPr="004574DC">
              <w:rPr>
                <w:rFonts w:cs="Arial"/>
              </w:rPr>
              <w:t xml:space="preserve">Prevent duty </w:t>
            </w:r>
            <w:r w:rsidRPr="004574DC">
              <w:rPr>
                <w:rFonts w:cs="Arial"/>
              </w:rPr>
              <w:t xml:space="preserve">within ICT code of conduct. </w:t>
            </w:r>
          </w:p>
          <w:p w:rsidR="00503CE3" w:rsidRPr="004574DC" w:rsidRDefault="00503CE3" w:rsidP="009971C5">
            <w:pPr>
              <w:rPr>
                <w:rFonts w:cs="Arial"/>
              </w:rPr>
            </w:pPr>
            <w:r w:rsidRPr="004574DC">
              <w:rPr>
                <w:rFonts w:cs="Arial"/>
              </w:rPr>
              <w:t>Ensure f</w:t>
            </w:r>
            <w:r w:rsidR="00E12F03" w:rsidRPr="004574DC">
              <w:rPr>
                <w:rFonts w:cs="Arial"/>
              </w:rPr>
              <w:t xml:space="preserve">irewalls and online security measures are in place to ensure </w:t>
            </w:r>
            <w:r w:rsidR="00E12F03" w:rsidRPr="004574DC">
              <w:rPr>
                <w:rFonts w:cs="Arial"/>
              </w:rPr>
              <w:lastRenderedPageBreak/>
              <w:t xml:space="preserve">that pupils cannot access extremist or inappropriate content. </w:t>
            </w:r>
          </w:p>
          <w:p w:rsidR="00E12F03" w:rsidRPr="004574DC" w:rsidRDefault="00E12F03" w:rsidP="009971C5">
            <w:pPr>
              <w:rPr>
                <w:rFonts w:cs="Arial"/>
              </w:rPr>
            </w:pPr>
            <w:r w:rsidRPr="004574DC">
              <w:rPr>
                <w:rFonts w:cs="Arial"/>
              </w:rPr>
              <w:t>Where websites</w:t>
            </w:r>
            <w:r w:rsidR="00503CE3" w:rsidRPr="004574DC">
              <w:rPr>
                <w:rFonts w:cs="Arial"/>
              </w:rPr>
              <w:t>,</w:t>
            </w:r>
            <w:r w:rsidRPr="004574DC">
              <w:rPr>
                <w:rFonts w:cs="Arial"/>
              </w:rPr>
              <w:t xml:space="preserve"> such as YouTube</w:t>
            </w:r>
            <w:r w:rsidR="00503CE3" w:rsidRPr="004574DC">
              <w:rPr>
                <w:rFonts w:cs="Arial"/>
              </w:rPr>
              <w:t>,</w:t>
            </w:r>
            <w:r w:rsidRPr="004574DC">
              <w:rPr>
                <w:rFonts w:cs="Arial"/>
              </w:rPr>
              <w:t xml:space="preserve"> are permitted for the purpose of learning, but are used by pupils to access inappropriate material, staff are aware of how to respond to this, and how to report and extremist content encountered. </w:t>
            </w:r>
          </w:p>
          <w:p w:rsidR="00E12F03" w:rsidRPr="004574DC" w:rsidRDefault="00E12F03" w:rsidP="009971C5">
            <w:pPr>
              <w:rPr>
                <w:rFonts w:cs="Arial"/>
              </w:rPr>
            </w:pPr>
            <w:r w:rsidRPr="004574DC">
              <w:rPr>
                <w:rFonts w:cs="Arial"/>
              </w:rPr>
              <w:t xml:space="preserve">Relevant staff undertake awareness training, so that they are aware of what extremist material looks like. </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u w:val="single"/>
              </w:rPr>
            </w:pPr>
          </w:p>
        </w:tc>
        <w:tc>
          <w:tcPr>
            <w:tcW w:w="1955" w:type="dxa"/>
          </w:tcPr>
          <w:p w:rsidR="00E12F03" w:rsidRPr="004574DC" w:rsidRDefault="00E12F03">
            <w:pPr>
              <w:rPr>
                <w:rFonts w:cs="Arial"/>
              </w:rPr>
            </w:pPr>
            <w:r w:rsidRPr="004574DC">
              <w:rPr>
                <w:rFonts w:cs="Arial"/>
              </w:rPr>
              <w:t xml:space="preserve">Visitor policy does not effectively mitigate the risk of extremists attending or hosting events on school premises.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pPr>
              <w:rPr>
                <w:rFonts w:cs="Arial"/>
              </w:rPr>
            </w:pPr>
            <w:r w:rsidRPr="004574DC">
              <w:rPr>
                <w:rFonts w:cs="Arial"/>
              </w:rPr>
              <w:t>Development of robust visitors’ policies to ensure that schools do not inadvertently host events or speakers supportive of or conducive to extremism. Included within policies could be a code of conduct to be agreed to by external speakers or visitors and/or requirement for visitors to agree that they subscribe to the values/ethos of the school.</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u w:val="single"/>
              </w:rPr>
            </w:pPr>
          </w:p>
        </w:tc>
        <w:tc>
          <w:tcPr>
            <w:tcW w:w="1955" w:type="dxa"/>
          </w:tcPr>
          <w:p w:rsidR="00E12F03" w:rsidRPr="004574DC" w:rsidRDefault="00E12F03" w:rsidP="004636DF">
            <w:pPr>
              <w:rPr>
                <w:rFonts w:cs="Arial"/>
              </w:rPr>
            </w:pPr>
            <w:r w:rsidRPr="004574DC">
              <w:rPr>
                <w:rFonts w:cs="Arial"/>
              </w:rPr>
              <w:t xml:space="preserve">School’s facilities are hired for use by individuals or groups who hold extremist views that are supportive of, or conducive to, terrorism.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E12F03" w:rsidRPr="004574DC" w:rsidRDefault="00E12F03" w:rsidP="00510716">
            <w:pPr>
              <w:rPr>
                <w:rFonts w:cs="Arial"/>
              </w:rPr>
            </w:pPr>
            <w:r w:rsidRPr="004574DC">
              <w:rPr>
                <w:rFonts w:cs="Arial"/>
              </w:rPr>
              <w:t xml:space="preserve">Development of a robust venue hire </w:t>
            </w:r>
            <w:proofErr w:type="gramStart"/>
            <w:r w:rsidRPr="004574DC">
              <w:rPr>
                <w:rFonts w:cs="Arial"/>
              </w:rPr>
              <w:t>policy which</w:t>
            </w:r>
            <w:proofErr w:type="gramEnd"/>
            <w:r w:rsidRPr="004574DC">
              <w:rPr>
                <w:rFonts w:cs="Arial"/>
              </w:rPr>
              <w:t xml:space="preserve"> spans across different types of booking including private events and use of facilities by supplementary educations providers and out of hours providers. </w:t>
            </w:r>
          </w:p>
          <w:p w:rsidR="00503CE3" w:rsidRPr="004574DC" w:rsidRDefault="00503CE3" w:rsidP="00510716">
            <w:pPr>
              <w:rPr>
                <w:rFonts w:cs="Arial"/>
              </w:rPr>
            </w:pPr>
            <w:r w:rsidRPr="004574DC">
              <w:rPr>
                <w:rFonts w:cs="Arial"/>
              </w:rPr>
              <w:lastRenderedPageBreak/>
              <w:t>Adequate measures are put in place to monitor the groups adherence to this policy</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r w:rsidR="004E1E05" w:rsidRPr="004574DC" w:rsidTr="004E1CD5">
        <w:tc>
          <w:tcPr>
            <w:tcW w:w="1555" w:type="dxa"/>
            <w:vMerge/>
          </w:tcPr>
          <w:p w:rsidR="00E12F03" w:rsidRPr="004574DC" w:rsidRDefault="00E12F03">
            <w:pPr>
              <w:rPr>
                <w:rFonts w:cs="Arial"/>
                <w:u w:val="single"/>
              </w:rPr>
            </w:pPr>
          </w:p>
        </w:tc>
        <w:tc>
          <w:tcPr>
            <w:tcW w:w="1955" w:type="dxa"/>
          </w:tcPr>
          <w:p w:rsidR="00E12F03" w:rsidRPr="004574DC" w:rsidRDefault="00E12F03">
            <w:pPr>
              <w:rPr>
                <w:rFonts w:cs="Arial"/>
              </w:rPr>
            </w:pPr>
            <w:r w:rsidRPr="004574DC">
              <w:rPr>
                <w:rFonts w:cs="Arial"/>
              </w:rPr>
              <w:t xml:space="preserve">Ineffective oversight of prayer facilities. </w:t>
            </w:r>
          </w:p>
        </w:tc>
        <w:tc>
          <w:tcPr>
            <w:tcW w:w="1305"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1021" w:type="dxa"/>
          </w:tcPr>
          <w:p w:rsidR="00E12F03" w:rsidRPr="004574DC" w:rsidRDefault="00E12F03">
            <w:pPr>
              <w:rPr>
                <w:rFonts w:cs="Arial"/>
                <w:u w:val="single"/>
              </w:rPr>
            </w:pPr>
          </w:p>
        </w:tc>
        <w:tc>
          <w:tcPr>
            <w:tcW w:w="1247" w:type="dxa"/>
          </w:tcPr>
          <w:p w:rsidR="00E12F03" w:rsidRPr="004574DC" w:rsidRDefault="00E12F03">
            <w:pPr>
              <w:rPr>
                <w:rFonts w:cs="Arial"/>
                <w:u w:val="single"/>
              </w:rPr>
            </w:pPr>
          </w:p>
        </w:tc>
        <w:tc>
          <w:tcPr>
            <w:tcW w:w="3402" w:type="dxa"/>
          </w:tcPr>
          <w:p w:rsidR="00503CE3" w:rsidRPr="004574DC" w:rsidRDefault="00E12F03">
            <w:pPr>
              <w:rPr>
                <w:rFonts w:cs="Arial"/>
              </w:rPr>
            </w:pPr>
            <w:r w:rsidRPr="004574DC">
              <w:rPr>
                <w:rFonts w:cs="Arial"/>
              </w:rPr>
              <w:t xml:space="preserve">Prayer facilities are equally available to students from all faiths.  </w:t>
            </w:r>
          </w:p>
          <w:p w:rsidR="00E12F03" w:rsidRPr="004574DC" w:rsidRDefault="00503CE3">
            <w:pPr>
              <w:rPr>
                <w:rFonts w:cs="Arial"/>
              </w:rPr>
            </w:pPr>
            <w:r w:rsidRPr="004574DC">
              <w:rPr>
                <w:rFonts w:cs="Arial"/>
              </w:rPr>
              <w:t>Establish r</w:t>
            </w:r>
            <w:r w:rsidR="00E12F03" w:rsidRPr="004574DC">
              <w:rPr>
                <w:rFonts w:cs="Arial"/>
              </w:rPr>
              <w:t>ules around the use of such facilit</w:t>
            </w:r>
            <w:r w:rsidRPr="004574DC">
              <w:rPr>
                <w:rFonts w:cs="Arial"/>
              </w:rPr>
              <w:t xml:space="preserve">ies, </w:t>
            </w:r>
            <w:r w:rsidR="00E12F03" w:rsidRPr="004574DC">
              <w:rPr>
                <w:rFonts w:cs="Arial"/>
              </w:rPr>
              <w:t xml:space="preserve">for example, they can only be used at certain times during the day. </w:t>
            </w:r>
          </w:p>
          <w:p w:rsidR="00E12F03" w:rsidRPr="004574DC" w:rsidRDefault="00E12F03">
            <w:pPr>
              <w:rPr>
                <w:rFonts w:cs="Arial"/>
              </w:rPr>
            </w:pPr>
            <w:r w:rsidRPr="004574DC">
              <w:rPr>
                <w:rFonts w:cs="Arial"/>
              </w:rPr>
              <w:t>Processes in place to manage and minimise risks associated with prayer facilities.</w:t>
            </w:r>
          </w:p>
        </w:tc>
        <w:tc>
          <w:tcPr>
            <w:tcW w:w="992" w:type="dxa"/>
          </w:tcPr>
          <w:p w:rsidR="00E12F03" w:rsidRPr="004574DC" w:rsidRDefault="00E12F03">
            <w:pPr>
              <w:rPr>
                <w:rFonts w:cs="Arial"/>
                <w:u w:val="single"/>
              </w:rPr>
            </w:pPr>
          </w:p>
        </w:tc>
        <w:tc>
          <w:tcPr>
            <w:tcW w:w="1450" w:type="dxa"/>
          </w:tcPr>
          <w:p w:rsidR="00E12F03" w:rsidRPr="004574DC" w:rsidRDefault="00E12F03">
            <w:pPr>
              <w:rPr>
                <w:rFonts w:cs="Arial"/>
                <w:u w:val="single"/>
              </w:rPr>
            </w:pPr>
          </w:p>
        </w:tc>
      </w:tr>
    </w:tbl>
    <w:p w:rsidR="009971C5" w:rsidRPr="004574DC" w:rsidRDefault="00586A08">
      <w:pPr>
        <w:rPr>
          <w:rFonts w:cs="Arial"/>
          <w:u w:val="single"/>
        </w:rPr>
      </w:pPr>
      <w:r w:rsidRPr="004574DC">
        <w:rPr>
          <w:rFonts w:cs="Arial"/>
          <w:u w:val="single"/>
        </w:rPr>
        <w:t xml:space="preserve"> </w:t>
      </w:r>
    </w:p>
    <w:p w:rsidR="00586A08" w:rsidRPr="004574DC" w:rsidRDefault="00586A08">
      <w:pPr>
        <w:rPr>
          <w:rFonts w:cs="Arial"/>
          <w:u w:val="single"/>
        </w:rPr>
      </w:pPr>
    </w:p>
    <w:sectPr w:rsidR="00586A08" w:rsidRPr="004574DC" w:rsidSect="00E12F03">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D5" w:rsidRDefault="004E1CD5" w:rsidP="00E12F03">
      <w:pPr>
        <w:spacing w:after="0" w:line="240" w:lineRule="auto"/>
      </w:pPr>
      <w:r>
        <w:separator/>
      </w:r>
    </w:p>
  </w:endnote>
  <w:endnote w:type="continuationSeparator" w:id="0">
    <w:p w:rsidR="004E1CD5" w:rsidRDefault="004E1CD5" w:rsidP="00E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D5" w:rsidRDefault="004E1CD5" w:rsidP="00E12F03">
      <w:pPr>
        <w:spacing w:after="0" w:line="240" w:lineRule="auto"/>
      </w:pPr>
      <w:r>
        <w:separator/>
      </w:r>
    </w:p>
  </w:footnote>
  <w:footnote w:type="continuationSeparator" w:id="0">
    <w:p w:rsidR="004E1CD5" w:rsidRDefault="004E1CD5" w:rsidP="00E1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D5" w:rsidRPr="00722A52" w:rsidRDefault="004E1CD5" w:rsidP="00722A52">
    <w:pPr>
      <w:pStyle w:val="Header"/>
      <w:rPr>
        <w:rFonts w:ascii="Arial" w:hAnsi="Arial" w:cs="Arial"/>
        <w:color w:val="1F497D" w:themeColor="text2"/>
        <w:sz w:val="16"/>
        <w:szCs w:val="16"/>
      </w:rPr>
    </w:pPr>
    <w:r w:rsidRPr="00722A52">
      <w:rPr>
        <w:rFonts w:ascii="Arial" w:hAnsi="Arial" w:cs="Arial"/>
        <w:noProof/>
        <w:color w:val="1F497D" w:themeColor="text2"/>
        <w:sz w:val="16"/>
        <w:szCs w:val="16"/>
        <w:lang w:eastAsia="en-GB"/>
      </w:rPr>
      <w:drawing>
        <wp:anchor distT="0" distB="0" distL="114300" distR="114300" simplePos="0" relativeHeight="251658240" behindDoc="0" locked="0" layoutInCell="1" allowOverlap="1" wp14:anchorId="169AFBA2" wp14:editId="52B43D7B">
          <wp:simplePos x="0" y="0"/>
          <wp:positionH relativeFrom="margin">
            <wp:align>right</wp:align>
          </wp:positionH>
          <wp:positionV relativeFrom="page">
            <wp:posOffset>431800</wp:posOffset>
          </wp:positionV>
          <wp:extent cx="1727835" cy="642620"/>
          <wp:effectExtent l="0" t="0" r="5715" b="5080"/>
          <wp:wrapSquare wrapText="bothSides"/>
          <wp:docPr id="8" name="Picture 8" descr="wcc_logo_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_logo_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642620"/>
                  </a:xfrm>
                  <a:prstGeom prst="rect">
                    <a:avLst/>
                  </a:prstGeom>
                  <a:noFill/>
                </pic:spPr>
              </pic:pic>
            </a:graphicData>
          </a:graphic>
          <wp14:sizeRelH relativeFrom="page">
            <wp14:pctWidth>0</wp14:pctWidth>
          </wp14:sizeRelH>
          <wp14:sizeRelV relativeFrom="page">
            <wp14:pctHeight>0</wp14:pctHeight>
          </wp14:sizeRelV>
        </wp:anchor>
      </w:drawing>
    </w:r>
    <w:r w:rsidRPr="00722A52">
      <w:rPr>
        <w:rFonts w:ascii="Arial" w:hAnsi="Arial" w:cs="Arial"/>
        <w:b/>
        <w:color w:val="1F497D" w:themeColor="text2"/>
        <w:sz w:val="16"/>
        <w:szCs w:val="16"/>
      </w:rPr>
      <w:t>Westminster City Council</w:t>
    </w:r>
  </w:p>
  <w:p w:rsidR="004E1CD5" w:rsidRPr="00722A52" w:rsidRDefault="004E1CD5" w:rsidP="00722A52">
    <w:pPr>
      <w:pStyle w:val="Header"/>
      <w:rPr>
        <w:rFonts w:ascii="Arial" w:hAnsi="Arial" w:cs="Arial"/>
        <w:color w:val="1F497D" w:themeColor="text2"/>
        <w:sz w:val="16"/>
        <w:szCs w:val="16"/>
      </w:rPr>
    </w:pPr>
    <w:r w:rsidRPr="00722A52">
      <w:rPr>
        <w:rFonts w:ascii="Arial" w:hAnsi="Arial" w:cs="Arial"/>
        <w:color w:val="1F497D" w:themeColor="text2"/>
        <w:sz w:val="16"/>
        <w:szCs w:val="16"/>
      </w:rPr>
      <w:t>westminster.gov.uk</w:t>
    </w:r>
  </w:p>
  <w:p w:rsidR="004E1CD5" w:rsidRDefault="004E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30834"/>
    <w:multiLevelType w:val="hybridMultilevel"/>
    <w:tmpl w:val="921A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98"/>
    <w:rsid w:val="00062A7C"/>
    <w:rsid w:val="000A28F8"/>
    <w:rsid w:val="000C54F2"/>
    <w:rsid w:val="000D4D75"/>
    <w:rsid w:val="000F66C4"/>
    <w:rsid w:val="00182CC5"/>
    <w:rsid w:val="001A1053"/>
    <w:rsid w:val="001F583D"/>
    <w:rsid w:val="002306BC"/>
    <w:rsid w:val="00320F98"/>
    <w:rsid w:val="00347F29"/>
    <w:rsid w:val="003B4982"/>
    <w:rsid w:val="0040044D"/>
    <w:rsid w:val="00414121"/>
    <w:rsid w:val="004431B5"/>
    <w:rsid w:val="004574DC"/>
    <w:rsid w:val="004636DF"/>
    <w:rsid w:val="0049507A"/>
    <w:rsid w:val="004A2285"/>
    <w:rsid w:val="004C78E9"/>
    <w:rsid w:val="004E1CD5"/>
    <w:rsid w:val="004E1E05"/>
    <w:rsid w:val="00503CE3"/>
    <w:rsid w:val="00506C87"/>
    <w:rsid w:val="00510716"/>
    <w:rsid w:val="0052658E"/>
    <w:rsid w:val="00532C07"/>
    <w:rsid w:val="00586A08"/>
    <w:rsid w:val="005872B4"/>
    <w:rsid w:val="005C4E6F"/>
    <w:rsid w:val="005C6CBB"/>
    <w:rsid w:val="005D3247"/>
    <w:rsid w:val="005D4366"/>
    <w:rsid w:val="00722A52"/>
    <w:rsid w:val="00797133"/>
    <w:rsid w:val="007B6152"/>
    <w:rsid w:val="00817110"/>
    <w:rsid w:val="00881FAC"/>
    <w:rsid w:val="008A5A6B"/>
    <w:rsid w:val="009971C5"/>
    <w:rsid w:val="009E28A6"/>
    <w:rsid w:val="009F691C"/>
    <w:rsid w:val="00A07F5A"/>
    <w:rsid w:val="00A15F4D"/>
    <w:rsid w:val="00B01342"/>
    <w:rsid w:val="00BF5550"/>
    <w:rsid w:val="00C25D98"/>
    <w:rsid w:val="00C3686E"/>
    <w:rsid w:val="00CA316F"/>
    <w:rsid w:val="00D367D6"/>
    <w:rsid w:val="00D40128"/>
    <w:rsid w:val="00D46912"/>
    <w:rsid w:val="00DA1CC3"/>
    <w:rsid w:val="00DC71DA"/>
    <w:rsid w:val="00E12F03"/>
    <w:rsid w:val="00E24790"/>
    <w:rsid w:val="00E31EA4"/>
    <w:rsid w:val="00E7349A"/>
    <w:rsid w:val="00EF5377"/>
    <w:rsid w:val="00F471D1"/>
    <w:rsid w:val="00FC3998"/>
    <w:rsid w:val="00FD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0B4730"/>
  <w15:docId w15:val="{EA2A0F2B-388D-4AE0-904D-920E991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1C5"/>
    <w:pPr>
      <w:ind w:left="720"/>
      <w:contextualSpacing/>
    </w:pPr>
  </w:style>
  <w:style w:type="paragraph" w:styleId="Header">
    <w:name w:val="header"/>
    <w:basedOn w:val="Normal"/>
    <w:link w:val="HeaderChar"/>
    <w:unhideWhenUsed/>
    <w:rsid w:val="00E12F03"/>
    <w:pPr>
      <w:tabs>
        <w:tab w:val="center" w:pos="4513"/>
        <w:tab w:val="right" w:pos="9026"/>
      </w:tabs>
      <w:spacing w:after="0" w:line="240" w:lineRule="auto"/>
    </w:pPr>
  </w:style>
  <w:style w:type="character" w:customStyle="1" w:styleId="HeaderChar">
    <w:name w:val="Header Char"/>
    <w:basedOn w:val="DefaultParagraphFont"/>
    <w:link w:val="Header"/>
    <w:rsid w:val="00E12F03"/>
  </w:style>
  <w:style w:type="paragraph" w:styleId="Footer">
    <w:name w:val="footer"/>
    <w:basedOn w:val="Normal"/>
    <w:link w:val="FooterChar"/>
    <w:uiPriority w:val="99"/>
    <w:unhideWhenUsed/>
    <w:rsid w:val="00E12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F03"/>
  </w:style>
  <w:style w:type="paragraph" w:styleId="NoSpacing">
    <w:name w:val="No Spacing"/>
    <w:basedOn w:val="Normal"/>
    <w:uiPriority w:val="1"/>
    <w:qFormat/>
    <w:rsid w:val="00E12F03"/>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E1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50013">
      <w:bodyDiv w:val="1"/>
      <w:marLeft w:val="0"/>
      <w:marRight w:val="0"/>
      <w:marTop w:val="0"/>
      <w:marBottom w:val="0"/>
      <w:divBdr>
        <w:top w:val="none" w:sz="0" w:space="0" w:color="auto"/>
        <w:left w:val="none" w:sz="0" w:space="0" w:color="auto"/>
        <w:bottom w:val="none" w:sz="0" w:space="0" w:color="auto"/>
        <w:right w:val="none" w:sz="0" w:space="0" w:color="auto"/>
      </w:divBdr>
    </w:div>
    <w:div w:id="745494220">
      <w:bodyDiv w:val="1"/>
      <w:marLeft w:val="0"/>
      <w:marRight w:val="0"/>
      <w:marTop w:val="0"/>
      <w:marBottom w:val="0"/>
      <w:divBdr>
        <w:top w:val="none" w:sz="0" w:space="0" w:color="auto"/>
        <w:left w:val="none" w:sz="0" w:space="0" w:color="auto"/>
        <w:bottom w:val="none" w:sz="0" w:space="0" w:color="auto"/>
        <w:right w:val="none" w:sz="0" w:space="0" w:color="auto"/>
      </w:divBdr>
    </w:div>
    <w:div w:id="1134711979">
      <w:bodyDiv w:val="1"/>
      <w:marLeft w:val="0"/>
      <w:marRight w:val="0"/>
      <w:marTop w:val="0"/>
      <w:marBottom w:val="0"/>
      <w:divBdr>
        <w:top w:val="none" w:sz="0" w:space="0" w:color="auto"/>
        <w:left w:val="none" w:sz="0" w:space="0" w:color="auto"/>
        <w:bottom w:val="none" w:sz="0" w:space="0" w:color="auto"/>
        <w:right w:val="none" w:sz="0" w:space="0" w:color="auto"/>
      </w:divBdr>
    </w:div>
    <w:div w:id="13914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6FA9-9D6B-481A-BEAA-4C8AF1B7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B0038319</Template>
  <TotalTime>36</TotalTime>
  <Pages>6</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kmalik</dc:creator>
  <cp:lastModifiedBy>Yusuf, Abdul: WCC</cp:lastModifiedBy>
  <cp:revision>4</cp:revision>
  <cp:lastPrinted>2015-07-10T15:53:00Z</cp:lastPrinted>
  <dcterms:created xsi:type="dcterms:W3CDTF">2018-08-09T09:49:00Z</dcterms:created>
  <dcterms:modified xsi:type="dcterms:W3CDTF">2018-08-28T10:37:00Z</dcterms:modified>
</cp:coreProperties>
</file>