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EB634" w14:textId="77777777" w:rsidR="000D7D98" w:rsidRDefault="000D7D98" w:rsidP="000D7D98">
      <w:pPr>
        <w:rPr>
          <w:rFonts w:cs="Arial"/>
          <w:b/>
        </w:rPr>
      </w:pPr>
      <w:bookmarkStart w:id="0" w:name="_GoBack"/>
      <w:bookmarkEnd w:id="0"/>
    </w:p>
    <w:p w14:paraId="5727C0A0" w14:textId="77777777" w:rsidR="000D7D98" w:rsidRPr="00AD2347" w:rsidRDefault="000D7D98" w:rsidP="000D7D98">
      <w:r>
        <w:rPr>
          <w:noProof/>
          <w:lang w:eastAsia="en-GB"/>
        </w:rPr>
        <w:drawing>
          <wp:inline distT="0" distB="0" distL="0" distR="0" wp14:anchorId="7B555E9E" wp14:editId="151BC01F">
            <wp:extent cx="30099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9900" cy="152400"/>
                    </a:xfrm>
                    <a:prstGeom prst="rect">
                      <a:avLst/>
                    </a:prstGeom>
                    <a:noFill/>
                    <a:ln>
                      <a:noFill/>
                    </a:ln>
                  </pic:spPr>
                </pic:pic>
              </a:graphicData>
            </a:graphic>
          </wp:inline>
        </w:drawing>
      </w:r>
    </w:p>
    <w:p w14:paraId="2B159EFB" w14:textId="77777777" w:rsidR="000D7D98" w:rsidRDefault="000D7D98" w:rsidP="000D7D98"/>
    <w:p w14:paraId="7780C963" w14:textId="77777777" w:rsidR="00F110E7" w:rsidRPr="00063348" w:rsidRDefault="00F110E7" w:rsidP="00F110E7">
      <w:pPr>
        <w:pStyle w:val="Heading1"/>
        <w:rPr>
          <w:rFonts w:ascii="Foundry Form Sans" w:hAnsi="Foundry Form Sans"/>
          <w:sz w:val="22"/>
          <w:szCs w:val="22"/>
        </w:rPr>
      </w:pPr>
      <w:r w:rsidRPr="00063348">
        <w:rPr>
          <w:rFonts w:ascii="Foundry Form Sans" w:hAnsi="Foundry Form Sans"/>
          <w:sz w:val="22"/>
          <w:szCs w:val="22"/>
        </w:rPr>
        <w:t>Introduction</w:t>
      </w:r>
    </w:p>
    <w:p w14:paraId="22BAE2BD" w14:textId="373566E0" w:rsidR="00114553" w:rsidRPr="00063348" w:rsidRDefault="00114553" w:rsidP="00114553">
      <w:pPr>
        <w:rPr>
          <w:sz w:val="22"/>
          <w:szCs w:val="22"/>
        </w:rPr>
      </w:pPr>
      <w:bookmarkStart w:id="1" w:name="_Hlk1399891"/>
      <w:r w:rsidRPr="00063348">
        <w:rPr>
          <w:sz w:val="22"/>
          <w:szCs w:val="22"/>
        </w:rPr>
        <w:t xml:space="preserve">The Mayor of London’s budget for the 2020-21 financial year is built around his vision of a city where nobody is left behind, and opportunities are open to all. It supports London’s future growth and economic success, building on our city’s thriving economy, extraordinary creativity, tolerance, diversity and openness to the world.  </w:t>
      </w:r>
    </w:p>
    <w:p w14:paraId="7699253A" w14:textId="77777777" w:rsidR="00114553" w:rsidRPr="00063348" w:rsidRDefault="00114553" w:rsidP="00114553">
      <w:pPr>
        <w:rPr>
          <w:sz w:val="22"/>
          <w:szCs w:val="22"/>
        </w:rPr>
      </w:pPr>
    </w:p>
    <w:p w14:paraId="6C362797" w14:textId="77777777" w:rsidR="00114553" w:rsidRPr="00063348" w:rsidRDefault="00114553" w:rsidP="00114553">
      <w:pPr>
        <w:rPr>
          <w:sz w:val="22"/>
          <w:szCs w:val="22"/>
        </w:rPr>
      </w:pPr>
      <w:r w:rsidRPr="00063348">
        <w:rPr>
          <w:sz w:val="22"/>
          <w:szCs w:val="22"/>
        </w:rPr>
        <w:t>This year’s budget will provide resources to improve the key services Londoners need. This includes delivering more affordable housing, supporting jobs and economic growth, tackling rough sleeping and making London a fairer and cleaner place to live. The Mayor will also provide extra resources from council tax and business rates for the Metropolitan Police and London Fire Brigade to keep Londoners safe. This will help offset the ongoing impact of the reduction in resources over the last decade.</w:t>
      </w:r>
    </w:p>
    <w:bookmarkEnd w:id="1"/>
    <w:p w14:paraId="7499C011" w14:textId="77777777" w:rsidR="00F110E7" w:rsidRPr="00063348" w:rsidRDefault="00F110E7" w:rsidP="00F110E7">
      <w:pPr>
        <w:pStyle w:val="Heading1"/>
        <w:rPr>
          <w:rFonts w:ascii="Foundry Form Sans" w:hAnsi="Foundry Form Sans"/>
          <w:sz w:val="22"/>
          <w:szCs w:val="22"/>
        </w:rPr>
      </w:pPr>
      <w:r w:rsidRPr="00063348">
        <w:rPr>
          <w:rFonts w:ascii="Foundry Form Sans" w:hAnsi="Foundry Form Sans"/>
          <w:sz w:val="22"/>
          <w:szCs w:val="22"/>
        </w:rPr>
        <w:t>Council tax for GLA services</w:t>
      </w:r>
    </w:p>
    <w:p w14:paraId="496A41E3" w14:textId="77777777" w:rsidR="00F110E7" w:rsidRDefault="00F110E7" w:rsidP="00F110E7">
      <w:pPr>
        <w:rPr>
          <w:sz w:val="22"/>
          <w:szCs w:val="22"/>
        </w:rPr>
      </w:pPr>
      <w:bookmarkStart w:id="2" w:name="_Hlk1401920"/>
      <w:r w:rsidRPr="009B6649">
        <w:rPr>
          <w:sz w:val="22"/>
          <w:szCs w:val="22"/>
        </w:rPr>
        <w:t>The GLA’s share of the council tax for a typical Band D property has been increased by £</w:t>
      </w:r>
      <w:r>
        <w:rPr>
          <w:sz w:val="22"/>
          <w:szCs w:val="22"/>
        </w:rPr>
        <w:t>11.56</w:t>
      </w:r>
      <w:r w:rsidRPr="009B6649">
        <w:rPr>
          <w:sz w:val="22"/>
          <w:szCs w:val="22"/>
        </w:rPr>
        <w:t xml:space="preserve"> (or </w:t>
      </w:r>
      <w:r>
        <w:rPr>
          <w:sz w:val="22"/>
          <w:szCs w:val="22"/>
        </w:rPr>
        <w:t>22</w:t>
      </w:r>
      <w:r w:rsidRPr="009B6649">
        <w:rPr>
          <w:sz w:val="22"/>
          <w:szCs w:val="22"/>
        </w:rPr>
        <w:t>p per week) to £</w:t>
      </w:r>
      <w:r>
        <w:rPr>
          <w:sz w:val="22"/>
          <w:szCs w:val="22"/>
        </w:rPr>
        <w:t>332.07</w:t>
      </w:r>
      <w:r w:rsidRPr="009B6649">
        <w:rPr>
          <w:sz w:val="22"/>
          <w:szCs w:val="22"/>
        </w:rPr>
        <w:t xml:space="preserve">. The additional income raised </w:t>
      </w:r>
      <w:r>
        <w:rPr>
          <w:sz w:val="22"/>
          <w:szCs w:val="22"/>
        </w:rPr>
        <w:t>will</w:t>
      </w:r>
      <w:r w:rsidRPr="009B6649">
        <w:rPr>
          <w:sz w:val="22"/>
          <w:szCs w:val="22"/>
        </w:rPr>
        <w:t xml:space="preserve"> fund the Metropolitan Police and</w:t>
      </w:r>
      <w:r>
        <w:rPr>
          <w:sz w:val="22"/>
          <w:szCs w:val="22"/>
        </w:rPr>
        <w:t xml:space="preserve"> the</w:t>
      </w:r>
      <w:r w:rsidRPr="009B6649">
        <w:rPr>
          <w:sz w:val="22"/>
          <w:szCs w:val="22"/>
        </w:rPr>
        <w:t xml:space="preserve"> London Fire Brigade.  </w:t>
      </w:r>
      <w:r>
        <w:rPr>
          <w:sz w:val="22"/>
          <w:szCs w:val="22"/>
        </w:rPr>
        <w:t>C</w:t>
      </w:r>
      <w:r w:rsidRPr="009B6649">
        <w:rPr>
          <w:sz w:val="22"/>
          <w:szCs w:val="22"/>
        </w:rPr>
        <w:t>ouncil taxpayer</w:t>
      </w:r>
      <w:r>
        <w:rPr>
          <w:sz w:val="22"/>
          <w:szCs w:val="22"/>
        </w:rPr>
        <w:t>s</w:t>
      </w:r>
      <w:r w:rsidRPr="009B6649">
        <w:rPr>
          <w:sz w:val="22"/>
          <w:szCs w:val="22"/>
        </w:rPr>
        <w:t xml:space="preserve"> in the City of London, which has its own police force, will pay £</w:t>
      </w:r>
      <w:r>
        <w:rPr>
          <w:sz w:val="22"/>
          <w:szCs w:val="22"/>
        </w:rPr>
        <w:t>79.94</w:t>
      </w:r>
      <w:r w:rsidRPr="009B6649">
        <w:rPr>
          <w:sz w:val="22"/>
          <w:szCs w:val="22"/>
        </w:rPr>
        <w:t>.</w:t>
      </w:r>
    </w:p>
    <w:bookmarkEnd w:id="2"/>
    <w:p w14:paraId="0C6E8918" w14:textId="77777777" w:rsidR="00F110E7" w:rsidRPr="00825CA9" w:rsidRDefault="00F110E7" w:rsidP="00F110E7">
      <w:pPr>
        <w:rPr>
          <w:sz w:val="22"/>
          <w:szCs w:val="22"/>
        </w:rPr>
      </w:pPr>
    </w:p>
    <w:tbl>
      <w:tblPr>
        <w:tblW w:w="7103" w:type="dxa"/>
        <w:tblInd w:w="93" w:type="dxa"/>
        <w:tblLook w:val="04A0" w:firstRow="1" w:lastRow="0" w:firstColumn="1" w:lastColumn="0" w:noHBand="0" w:noVBand="1"/>
      </w:tblPr>
      <w:tblGrid>
        <w:gridCol w:w="3940"/>
        <w:gridCol w:w="1037"/>
        <w:gridCol w:w="960"/>
        <w:gridCol w:w="1166"/>
      </w:tblGrid>
      <w:tr w:rsidR="00F110E7" w:rsidRPr="00D36C9F" w14:paraId="28B57B01" w14:textId="77777777" w:rsidTr="0033392E">
        <w:trPr>
          <w:trHeight w:val="288"/>
        </w:trPr>
        <w:tc>
          <w:tcPr>
            <w:tcW w:w="3940" w:type="dxa"/>
            <w:tcBorders>
              <w:top w:val="single" w:sz="8" w:space="0" w:color="A5A6A5"/>
              <w:left w:val="single" w:sz="8" w:space="0" w:color="FFFFFF"/>
              <w:bottom w:val="nil"/>
              <w:right w:val="nil"/>
            </w:tcBorders>
            <w:shd w:val="clear" w:color="000000" w:fill="FFFFFF"/>
            <w:noWrap/>
            <w:vAlign w:val="center"/>
            <w:hideMark/>
          </w:tcPr>
          <w:p w14:paraId="078E1937" w14:textId="77777777" w:rsidR="00F110E7" w:rsidRPr="00D36C9F" w:rsidRDefault="00F110E7" w:rsidP="0033392E">
            <w:pPr>
              <w:rPr>
                <w:b/>
                <w:bCs/>
                <w:color w:val="313231"/>
                <w:sz w:val="22"/>
                <w:szCs w:val="22"/>
              </w:rPr>
            </w:pPr>
            <w:r w:rsidRPr="00D36C9F">
              <w:rPr>
                <w:b/>
                <w:bCs/>
                <w:color w:val="313231"/>
                <w:sz w:val="22"/>
                <w:szCs w:val="22"/>
              </w:rPr>
              <w:t>Council Tax (£)</w:t>
            </w:r>
          </w:p>
        </w:tc>
        <w:tc>
          <w:tcPr>
            <w:tcW w:w="1037" w:type="dxa"/>
            <w:tcBorders>
              <w:top w:val="single" w:sz="8" w:space="0" w:color="A5A6A5"/>
              <w:left w:val="nil"/>
              <w:bottom w:val="nil"/>
              <w:right w:val="nil"/>
            </w:tcBorders>
            <w:shd w:val="clear" w:color="000000" w:fill="D9D9D9"/>
            <w:vAlign w:val="center"/>
          </w:tcPr>
          <w:p w14:paraId="716A0EFF" w14:textId="77777777" w:rsidR="00F110E7" w:rsidRPr="00D36C9F" w:rsidRDefault="00F110E7" w:rsidP="0033392E">
            <w:pPr>
              <w:jc w:val="right"/>
              <w:rPr>
                <w:b/>
                <w:bCs/>
                <w:color w:val="313231"/>
                <w:sz w:val="22"/>
                <w:szCs w:val="22"/>
              </w:rPr>
            </w:pPr>
            <w:r w:rsidRPr="00D36C9F">
              <w:rPr>
                <w:b/>
                <w:bCs/>
                <w:color w:val="313231"/>
                <w:sz w:val="22"/>
                <w:szCs w:val="22"/>
              </w:rPr>
              <w:t>201</w:t>
            </w:r>
            <w:r>
              <w:rPr>
                <w:b/>
                <w:bCs/>
                <w:color w:val="313231"/>
                <w:sz w:val="22"/>
                <w:szCs w:val="22"/>
              </w:rPr>
              <w:t>9</w:t>
            </w:r>
            <w:r w:rsidRPr="00D36C9F">
              <w:rPr>
                <w:b/>
                <w:bCs/>
                <w:color w:val="313231"/>
                <w:sz w:val="22"/>
                <w:szCs w:val="22"/>
              </w:rPr>
              <w:t>-</w:t>
            </w:r>
            <w:r>
              <w:rPr>
                <w:b/>
                <w:bCs/>
                <w:color w:val="313231"/>
                <w:sz w:val="22"/>
                <w:szCs w:val="22"/>
              </w:rPr>
              <w:t>20</w:t>
            </w:r>
          </w:p>
        </w:tc>
        <w:tc>
          <w:tcPr>
            <w:tcW w:w="960" w:type="dxa"/>
            <w:tcBorders>
              <w:top w:val="single" w:sz="8" w:space="0" w:color="A5A6A5"/>
              <w:left w:val="nil"/>
              <w:bottom w:val="nil"/>
              <w:right w:val="nil"/>
            </w:tcBorders>
            <w:shd w:val="clear" w:color="000000" w:fill="FFFFFF"/>
            <w:noWrap/>
            <w:vAlign w:val="center"/>
            <w:hideMark/>
          </w:tcPr>
          <w:p w14:paraId="0CCE3970" w14:textId="77777777" w:rsidR="00F110E7" w:rsidRPr="00D36C9F" w:rsidRDefault="00F110E7" w:rsidP="0033392E">
            <w:pPr>
              <w:jc w:val="center"/>
              <w:rPr>
                <w:b/>
                <w:bCs/>
                <w:color w:val="313231"/>
                <w:sz w:val="22"/>
                <w:szCs w:val="22"/>
              </w:rPr>
            </w:pPr>
            <w:r w:rsidRPr="00D36C9F">
              <w:rPr>
                <w:b/>
                <w:bCs/>
                <w:color w:val="313231"/>
                <w:sz w:val="22"/>
                <w:szCs w:val="22"/>
              </w:rPr>
              <w:t>Change</w:t>
            </w:r>
          </w:p>
        </w:tc>
        <w:tc>
          <w:tcPr>
            <w:tcW w:w="1166" w:type="dxa"/>
            <w:tcBorders>
              <w:top w:val="single" w:sz="8" w:space="0" w:color="A5A6A5"/>
              <w:left w:val="nil"/>
              <w:bottom w:val="nil"/>
              <w:right w:val="nil"/>
            </w:tcBorders>
            <w:shd w:val="clear" w:color="000000" w:fill="D9D9D9"/>
            <w:noWrap/>
            <w:vAlign w:val="center"/>
            <w:hideMark/>
          </w:tcPr>
          <w:p w14:paraId="5E7E2745" w14:textId="77777777" w:rsidR="00F110E7" w:rsidRPr="00D36C9F" w:rsidRDefault="00F110E7" w:rsidP="0033392E">
            <w:pPr>
              <w:jc w:val="right"/>
              <w:rPr>
                <w:b/>
                <w:bCs/>
                <w:color w:val="313231"/>
                <w:sz w:val="22"/>
                <w:szCs w:val="22"/>
              </w:rPr>
            </w:pPr>
            <w:r>
              <w:rPr>
                <w:b/>
                <w:bCs/>
                <w:color w:val="313231"/>
                <w:sz w:val="22"/>
                <w:szCs w:val="22"/>
              </w:rPr>
              <w:t>2020-21</w:t>
            </w:r>
          </w:p>
        </w:tc>
      </w:tr>
      <w:tr w:rsidR="00F110E7" w:rsidRPr="00D36C9F" w14:paraId="7A36E0F5" w14:textId="77777777" w:rsidTr="0033392E">
        <w:trPr>
          <w:trHeight w:val="315"/>
        </w:trPr>
        <w:tc>
          <w:tcPr>
            <w:tcW w:w="3940" w:type="dxa"/>
            <w:tcBorders>
              <w:top w:val="nil"/>
              <w:left w:val="single" w:sz="8" w:space="0" w:color="FFFFFF"/>
              <w:bottom w:val="single" w:sz="8" w:space="0" w:color="A5A6A5"/>
              <w:right w:val="nil"/>
            </w:tcBorders>
            <w:shd w:val="clear" w:color="000000" w:fill="FFFFFF"/>
            <w:noWrap/>
            <w:vAlign w:val="center"/>
            <w:hideMark/>
          </w:tcPr>
          <w:p w14:paraId="553C8F48" w14:textId="77777777" w:rsidR="00F110E7" w:rsidRPr="00D36C9F" w:rsidRDefault="00F110E7" w:rsidP="0033392E">
            <w:pPr>
              <w:rPr>
                <w:b/>
                <w:bCs/>
                <w:color w:val="313231"/>
                <w:sz w:val="22"/>
                <w:szCs w:val="22"/>
              </w:rPr>
            </w:pPr>
            <w:r w:rsidRPr="00D36C9F">
              <w:rPr>
                <w:b/>
                <w:bCs/>
                <w:color w:val="313231"/>
                <w:sz w:val="22"/>
                <w:szCs w:val="22"/>
              </w:rPr>
              <w:t> </w:t>
            </w:r>
          </w:p>
        </w:tc>
        <w:tc>
          <w:tcPr>
            <w:tcW w:w="1037" w:type="dxa"/>
            <w:tcBorders>
              <w:top w:val="nil"/>
              <w:left w:val="nil"/>
              <w:bottom w:val="single" w:sz="8" w:space="0" w:color="A5A6A5"/>
              <w:right w:val="nil"/>
            </w:tcBorders>
            <w:shd w:val="clear" w:color="000000" w:fill="D9D9D9"/>
            <w:vAlign w:val="center"/>
          </w:tcPr>
          <w:p w14:paraId="0F51A6A9" w14:textId="77777777" w:rsidR="00F110E7" w:rsidRPr="00D36C9F" w:rsidRDefault="00F110E7" w:rsidP="0033392E">
            <w:pPr>
              <w:jc w:val="right"/>
              <w:rPr>
                <w:b/>
                <w:bCs/>
                <w:color w:val="313231"/>
                <w:sz w:val="22"/>
                <w:szCs w:val="22"/>
              </w:rPr>
            </w:pPr>
            <w:r w:rsidRPr="00D36C9F">
              <w:rPr>
                <w:b/>
                <w:bCs/>
                <w:color w:val="313231"/>
                <w:sz w:val="22"/>
                <w:szCs w:val="22"/>
              </w:rPr>
              <w:t> </w:t>
            </w:r>
          </w:p>
        </w:tc>
        <w:tc>
          <w:tcPr>
            <w:tcW w:w="960" w:type="dxa"/>
            <w:tcBorders>
              <w:top w:val="nil"/>
              <w:left w:val="nil"/>
              <w:bottom w:val="single" w:sz="8" w:space="0" w:color="A5A6A5"/>
              <w:right w:val="nil"/>
            </w:tcBorders>
            <w:shd w:val="clear" w:color="000000" w:fill="FFFFFF"/>
            <w:noWrap/>
            <w:vAlign w:val="center"/>
            <w:hideMark/>
          </w:tcPr>
          <w:p w14:paraId="4A734B47" w14:textId="77777777" w:rsidR="00F110E7" w:rsidRPr="00D36C9F" w:rsidRDefault="00F110E7" w:rsidP="0033392E">
            <w:pPr>
              <w:jc w:val="right"/>
              <w:rPr>
                <w:b/>
                <w:bCs/>
                <w:color w:val="313231"/>
                <w:sz w:val="22"/>
                <w:szCs w:val="22"/>
              </w:rPr>
            </w:pPr>
            <w:r w:rsidRPr="00D36C9F">
              <w:rPr>
                <w:b/>
                <w:bCs/>
                <w:color w:val="313231"/>
                <w:sz w:val="22"/>
                <w:szCs w:val="22"/>
              </w:rPr>
              <w:t> </w:t>
            </w:r>
          </w:p>
        </w:tc>
        <w:tc>
          <w:tcPr>
            <w:tcW w:w="1166" w:type="dxa"/>
            <w:tcBorders>
              <w:top w:val="nil"/>
              <w:left w:val="nil"/>
              <w:bottom w:val="single" w:sz="8" w:space="0" w:color="A5A6A5"/>
              <w:right w:val="nil"/>
            </w:tcBorders>
            <w:shd w:val="clear" w:color="000000" w:fill="D9D9D9"/>
            <w:noWrap/>
            <w:vAlign w:val="center"/>
            <w:hideMark/>
          </w:tcPr>
          <w:p w14:paraId="441BD13D" w14:textId="77777777" w:rsidR="00F110E7" w:rsidRPr="00D36C9F" w:rsidRDefault="00F110E7" w:rsidP="0033392E">
            <w:pPr>
              <w:jc w:val="right"/>
              <w:rPr>
                <w:b/>
                <w:bCs/>
                <w:color w:val="313231"/>
                <w:sz w:val="22"/>
                <w:szCs w:val="22"/>
              </w:rPr>
            </w:pPr>
            <w:r w:rsidRPr="00D36C9F">
              <w:rPr>
                <w:b/>
                <w:bCs/>
                <w:color w:val="313231"/>
                <w:sz w:val="22"/>
                <w:szCs w:val="22"/>
              </w:rPr>
              <w:t> </w:t>
            </w:r>
          </w:p>
        </w:tc>
      </w:tr>
      <w:tr w:rsidR="00F110E7" w:rsidRPr="00D36C9F" w14:paraId="2B463E49" w14:textId="77777777" w:rsidTr="0033392E">
        <w:trPr>
          <w:trHeight w:val="300"/>
        </w:trPr>
        <w:tc>
          <w:tcPr>
            <w:tcW w:w="3940" w:type="dxa"/>
            <w:tcBorders>
              <w:top w:val="nil"/>
              <w:left w:val="single" w:sz="8" w:space="0" w:color="FFFFFF"/>
              <w:bottom w:val="nil"/>
              <w:right w:val="nil"/>
            </w:tcBorders>
            <w:shd w:val="clear" w:color="auto" w:fill="auto"/>
            <w:vAlign w:val="center"/>
            <w:hideMark/>
          </w:tcPr>
          <w:p w14:paraId="26610201" w14:textId="77777777" w:rsidR="00F110E7" w:rsidRPr="00D36C9F" w:rsidRDefault="00F110E7" w:rsidP="0033392E">
            <w:pPr>
              <w:rPr>
                <w:color w:val="313231"/>
                <w:sz w:val="22"/>
                <w:szCs w:val="22"/>
              </w:rPr>
            </w:pPr>
            <w:r w:rsidRPr="00D36C9F">
              <w:rPr>
                <w:color w:val="313231"/>
                <w:sz w:val="22"/>
                <w:szCs w:val="22"/>
              </w:rPr>
              <w:t>MOPAC (Met</w:t>
            </w:r>
            <w:r>
              <w:rPr>
                <w:color w:val="313231"/>
                <w:sz w:val="22"/>
                <w:szCs w:val="22"/>
              </w:rPr>
              <w:t>ropolitan</w:t>
            </w:r>
            <w:r w:rsidRPr="00D36C9F">
              <w:rPr>
                <w:color w:val="313231"/>
                <w:sz w:val="22"/>
                <w:szCs w:val="22"/>
              </w:rPr>
              <w:t xml:space="preserve"> Police)</w:t>
            </w:r>
          </w:p>
        </w:tc>
        <w:tc>
          <w:tcPr>
            <w:tcW w:w="1037" w:type="dxa"/>
            <w:tcBorders>
              <w:top w:val="nil"/>
              <w:left w:val="nil"/>
              <w:bottom w:val="nil"/>
              <w:right w:val="nil"/>
            </w:tcBorders>
            <w:shd w:val="clear" w:color="auto" w:fill="D9D9D9"/>
            <w:vAlign w:val="center"/>
          </w:tcPr>
          <w:p w14:paraId="7296A286" w14:textId="77777777" w:rsidR="00F110E7" w:rsidRPr="002A382B" w:rsidRDefault="00F110E7" w:rsidP="0033392E">
            <w:pPr>
              <w:jc w:val="right"/>
              <w:rPr>
                <w:bCs/>
                <w:color w:val="313231"/>
                <w:sz w:val="22"/>
                <w:szCs w:val="22"/>
              </w:rPr>
            </w:pPr>
            <w:r w:rsidRPr="002A382B">
              <w:rPr>
                <w:bCs/>
                <w:color w:val="313231"/>
                <w:sz w:val="22"/>
                <w:szCs w:val="22"/>
              </w:rPr>
              <w:t>242.13</w:t>
            </w:r>
          </w:p>
        </w:tc>
        <w:tc>
          <w:tcPr>
            <w:tcW w:w="960" w:type="dxa"/>
            <w:tcBorders>
              <w:top w:val="nil"/>
              <w:left w:val="nil"/>
              <w:bottom w:val="nil"/>
              <w:right w:val="nil"/>
            </w:tcBorders>
            <w:shd w:val="clear" w:color="auto" w:fill="auto"/>
            <w:vAlign w:val="center"/>
            <w:hideMark/>
          </w:tcPr>
          <w:p w14:paraId="17E5D76F" w14:textId="77777777" w:rsidR="00F110E7" w:rsidRPr="002A382B" w:rsidRDefault="00F110E7" w:rsidP="0033392E">
            <w:pPr>
              <w:jc w:val="right"/>
              <w:rPr>
                <w:bCs/>
                <w:color w:val="313231"/>
                <w:sz w:val="22"/>
                <w:szCs w:val="22"/>
              </w:rPr>
            </w:pPr>
            <w:r>
              <w:rPr>
                <w:bCs/>
                <w:color w:val="313231"/>
                <w:sz w:val="22"/>
                <w:szCs w:val="22"/>
              </w:rPr>
              <w:t>10</w:t>
            </w:r>
            <w:r w:rsidRPr="002A382B">
              <w:rPr>
                <w:bCs/>
                <w:color w:val="313231"/>
                <w:sz w:val="22"/>
                <w:szCs w:val="22"/>
              </w:rPr>
              <w:t>.00</w:t>
            </w:r>
          </w:p>
        </w:tc>
        <w:tc>
          <w:tcPr>
            <w:tcW w:w="1166" w:type="dxa"/>
            <w:tcBorders>
              <w:top w:val="nil"/>
              <w:left w:val="nil"/>
              <w:bottom w:val="nil"/>
              <w:right w:val="nil"/>
            </w:tcBorders>
            <w:shd w:val="clear" w:color="000000" w:fill="D9D9D9"/>
            <w:vAlign w:val="center"/>
            <w:hideMark/>
          </w:tcPr>
          <w:p w14:paraId="67866E66" w14:textId="77777777" w:rsidR="00F110E7" w:rsidRPr="002A382B" w:rsidRDefault="00F110E7" w:rsidP="0033392E">
            <w:pPr>
              <w:jc w:val="right"/>
              <w:rPr>
                <w:bCs/>
                <w:color w:val="313231"/>
                <w:sz w:val="22"/>
                <w:szCs w:val="22"/>
              </w:rPr>
            </w:pPr>
            <w:r w:rsidRPr="002A382B">
              <w:rPr>
                <w:bCs/>
                <w:color w:val="313231"/>
                <w:sz w:val="22"/>
                <w:szCs w:val="22"/>
              </w:rPr>
              <w:t>2</w:t>
            </w:r>
            <w:r>
              <w:rPr>
                <w:bCs/>
                <w:color w:val="313231"/>
                <w:sz w:val="22"/>
                <w:szCs w:val="22"/>
              </w:rPr>
              <w:t>5</w:t>
            </w:r>
            <w:r w:rsidRPr="002A382B">
              <w:rPr>
                <w:bCs/>
                <w:color w:val="313231"/>
                <w:sz w:val="22"/>
                <w:szCs w:val="22"/>
              </w:rPr>
              <w:t>2.13</w:t>
            </w:r>
          </w:p>
        </w:tc>
      </w:tr>
      <w:tr w:rsidR="00F110E7" w:rsidRPr="00D36C9F" w14:paraId="17839753" w14:textId="77777777" w:rsidTr="0033392E">
        <w:trPr>
          <w:trHeight w:val="300"/>
        </w:trPr>
        <w:tc>
          <w:tcPr>
            <w:tcW w:w="3940" w:type="dxa"/>
            <w:tcBorders>
              <w:top w:val="nil"/>
              <w:left w:val="single" w:sz="8" w:space="0" w:color="FFFFFF"/>
              <w:bottom w:val="nil"/>
              <w:right w:val="nil"/>
            </w:tcBorders>
            <w:shd w:val="clear" w:color="auto" w:fill="auto"/>
            <w:vAlign w:val="center"/>
            <w:hideMark/>
          </w:tcPr>
          <w:p w14:paraId="40D03A54" w14:textId="77777777" w:rsidR="00F110E7" w:rsidRPr="00D36C9F" w:rsidRDefault="00F110E7" w:rsidP="0033392E">
            <w:pPr>
              <w:rPr>
                <w:color w:val="313231"/>
                <w:sz w:val="22"/>
                <w:szCs w:val="22"/>
              </w:rPr>
            </w:pPr>
            <w:r>
              <w:rPr>
                <w:color w:val="313231"/>
                <w:sz w:val="22"/>
                <w:szCs w:val="22"/>
              </w:rPr>
              <w:t>LFC</w:t>
            </w:r>
            <w:r w:rsidRPr="00D36C9F">
              <w:rPr>
                <w:color w:val="313231"/>
                <w:sz w:val="22"/>
                <w:szCs w:val="22"/>
              </w:rPr>
              <w:t xml:space="preserve"> (</w:t>
            </w:r>
            <w:r>
              <w:rPr>
                <w:color w:val="313231"/>
                <w:sz w:val="22"/>
                <w:szCs w:val="22"/>
              </w:rPr>
              <w:t xml:space="preserve">London </w:t>
            </w:r>
            <w:r w:rsidRPr="00D36C9F">
              <w:rPr>
                <w:color w:val="313231"/>
                <w:sz w:val="22"/>
                <w:szCs w:val="22"/>
              </w:rPr>
              <w:t>Fire Brigade)</w:t>
            </w:r>
          </w:p>
        </w:tc>
        <w:tc>
          <w:tcPr>
            <w:tcW w:w="1037" w:type="dxa"/>
            <w:tcBorders>
              <w:top w:val="nil"/>
              <w:left w:val="nil"/>
              <w:bottom w:val="nil"/>
              <w:right w:val="nil"/>
            </w:tcBorders>
            <w:shd w:val="clear" w:color="auto" w:fill="D9D9D9"/>
            <w:vAlign w:val="center"/>
          </w:tcPr>
          <w:p w14:paraId="0F5A911E" w14:textId="77777777" w:rsidR="00F110E7" w:rsidRPr="00B70F1A" w:rsidRDefault="00F110E7" w:rsidP="0033392E">
            <w:pPr>
              <w:jc w:val="right"/>
              <w:rPr>
                <w:bCs/>
                <w:color w:val="313231"/>
                <w:sz w:val="22"/>
                <w:szCs w:val="22"/>
              </w:rPr>
            </w:pPr>
            <w:r w:rsidRPr="00B70F1A">
              <w:rPr>
                <w:bCs/>
                <w:color w:val="313231"/>
                <w:sz w:val="22"/>
                <w:szCs w:val="22"/>
              </w:rPr>
              <w:t>53.00</w:t>
            </w:r>
          </w:p>
        </w:tc>
        <w:tc>
          <w:tcPr>
            <w:tcW w:w="960" w:type="dxa"/>
            <w:tcBorders>
              <w:top w:val="nil"/>
              <w:left w:val="nil"/>
              <w:bottom w:val="nil"/>
              <w:right w:val="nil"/>
            </w:tcBorders>
            <w:shd w:val="clear" w:color="auto" w:fill="auto"/>
            <w:vAlign w:val="center"/>
            <w:hideMark/>
          </w:tcPr>
          <w:p w14:paraId="207DF541" w14:textId="77777777" w:rsidR="00F110E7" w:rsidRPr="00B70F1A" w:rsidRDefault="00F110E7" w:rsidP="0033392E">
            <w:pPr>
              <w:jc w:val="right"/>
              <w:rPr>
                <w:bCs/>
                <w:color w:val="313231"/>
                <w:sz w:val="22"/>
                <w:szCs w:val="22"/>
              </w:rPr>
            </w:pPr>
            <w:r>
              <w:rPr>
                <w:bCs/>
                <w:color w:val="313231"/>
                <w:sz w:val="22"/>
                <w:szCs w:val="22"/>
              </w:rPr>
              <w:t>2.28</w:t>
            </w:r>
          </w:p>
        </w:tc>
        <w:tc>
          <w:tcPr>
            <w:tcW w:w="1166" w:type="dxa"/>
            <w:tcBorders>
              <w:top w:val="nil"/>
              <w:left w:val="nil"/>
              <w:bottom w:val="nil"/>
              <w:right w:val="nil"/>
            </w:tcBorders>
            <w:shd w:val="clear" w:color="000000" w:fill="D9D9D9"/>
            <w:vAlign w:val="center"/>
            <w:hideMark/>
          </w:tcPr>
          <w:p w14:paraId="1B3691C9" w14:textId="77777777" w:rsidR="00F110E7" w:rsidRPr="00B70F1A" w:rsidRDefault="00F110E7" w:rsidP="0033392E">
            <w:pPr>
              <w:jc w:val="right"/>
              <w:rPr>
                <w:bCs/>
                <w:color w:val="313231"/>
                <w:sz w:val="22"/>
                <w:szCs w:val="22"/>
              </w:rPr>
            </w:pPr>
            <w:r w:rsidRPr="00B70F1A">
              <w:rPr>
                <w:bCs/>
                <w:color w:val="313231"/>
                <w:sz w:val="22"/>
                <w:szCs w:val="22"/>
              </w:rPr>
              <w:t>5</w:t>
            </w:r>
            <w:r>
              <w:rPr>
                <w:bCs/>
                <w:color w:val="313231"/>
                <w:sz w:val="22"/>
                <w:szCs w:val="22"/>
              </w:rPr>
              <w:t>5</w:t>
            </w:r>
            <w:r w:rsidRPr="00B70F1A">
              <w:rPr>
                <w:bCs/>
                <w:color w:val="313231"/>
                <w:sz w:val="22"/>
                <w:szCs w:val="22"/>
              </w:rPr>
              <w:t>.</w:t>
            </w:r>
            <w:r>
              <w:rPr>
                <w:bCs/>
                <w:color w:val="313231"/>
                <w:sz w:val="22"/>
                <w:szCs w:val="22"/>
              </w:rPr>
              <w:t>28</w:t>
            </w:r>
          </w:p>
        </w:tc>
      </w:tr>
      <w:tr w:rsidR="00F110E7" w:rsidRPr="00D36C9F" w14:paraId="0A191D92" w14:textId="77777777" w:rsidTr="0033392E">
        <w:trPr>
          <w:trHeight w:val="300"/>
        </w:trPr>
        <w:tc>
          <w:tcPr>
            <w:tcW w:w="3940" w:type="dxa"/>
            <w:tcBorders>
              <w:top w:val="nil"/>
              <w:left w:val="single" w:sz="8" w:space="0" w:color="FFFFFF"/>
              <w:bottom w:val="nil"/>
              <w:right w:val="nil"/>
            </w:tcBorders>
            <w:shd w:val="clear" w:color="auto" w:fill="auto"/>
            <w:vAlign w:val="center"/>
            <w:hideMark/>
          </w:tcPr>
          <w:p w14:paraId="2E5113AF" w14:textId="77777777" w:rsidR="00F110E7" w:rsidRPr="00D36C9F" w:rsidRDefault="00F110E7" w:rsidP="0033392E">
            <w:pPr>
              <w:rPr>
                <w:color w:val="313231"/>
                <w:sz w:val="22"/>
                <w:szCs w:val="22"/>
              </w:rPr>
            </w:pPr>
            <w:r w:rsidRPr="00D36C9F">
              <w:rPr>
                <w:color w:val="313231"/>
                <w:sz w:val="22"/>
                <w:szCs w:val="22"/>
              </w:rPr>
              <w:t>GLA</w:t>
            </w:r>
          </w:p>
        </w:tc>
        <w:tc>
          <w:tcPr>
            <w:tcW w:w="1037" w:type="dxa"/>
            <w:tcBorders>
              <w:top w:val="nil"/>
              <w:left w:val="nil"/>
              <w:bottom w:val="nil"/>
              <w:right w:val="nil"/>
            </w:tcBorders>
            <w:shd w:val="clear" w:color="auto" w:fill="D9D9D9"/>
            <w:vAlign w:val="center"/>
          </w:tcPr>
          <w:p w14:paraId="776CF3D1" w14:textId="77777777" w:rsidR="00F110E7" w:rsidRPr="00B70F1A" w:rsidRDefault="00F110E7" w:rsidP="0033392E">
            <w:pPr>
              <w:jc w:val="right"/>
              <w:rPr>
                <w:bCs/>
                <w:color w:val="313231"/>
                <w:sz w:val="22"/>
                <w:szCs w:val="22"/>
              </w:rPr>
            </w:pPr>
            <w:r w:rsidRPr="00B70F1A">
              <w:rPr>
                <w:bCs/>
                <w:color w:val="313231"/>
                <w:sz w:val="22"/>
                <w:szCs w:val="22"/>
              </w:rPr>
              <w:t>23.38</w:t>
            </w:r>
          </w:p>
        </w:tc>
        <w:tc>
          <w:tcPr>
            <w:tcW w:w="960" w:type="dxa"/>
            <w:tcBorders>
              <w:top w:val="nil"/>
              <w:left w:val="nil"/>
              <w:bottom w:val="nil"/>
              <w:right w:val="nil"/>
            </w:tcBorders>
            <w:shd w:val="clear" w:color="auto" w:fill="auto"/>
            <w:vAlign w:val="center"/>
            <w:hideMark/>
          </w:tcPr>
          <w:p w14:paraId="29D29190" w14:textId="77777777" w:rsidR="00F110E7" w:rsidRPr="00B70F1A" w:rsidRDefault="00F110E7" w:rsidP="0033392E">
            <w:pPr>
              <w:jc w:val="right"/>
              <w:rPr>
                <w:bCs/>
                <w:color w:val="313231"/>
                <w:sz w:val="22"/>
                <w:szCs w:val="22"/>
              </w:rPr>
            </w:pPr>
            <w:r w:rsidRPr="00B70F1A">
              <w:rPr>
                <w:bCs/>
                <w:color w:val="313231"/>
                <w:sz w:val="22"/>
                <w:szCs w:val="22"/>
              </w:rPr>
              <w:t>-0.</w:t>
            </w:r>
            <w:r>
              <w:rPr>
                <w:bCs/>
                <w:color w:val="313231"/>
                <w:sz w:val="22"/>
                <w:szCs w:val="22"/>
              </w:rPr>
              <w:t>69</w:t>
            </w:r>
          </w:p>
        </w:tc>
        <w:tc>
          <w:tcPr>
            <w:tcW w:w="1166" w:type="dxa"/>
            <w:tcBorders>
              <w:top w:val="nil"/>
              <w:left w:val="nil"/>
              <w:bottom w:val="nil"/>
              <w:right w:val="nil"/>
            </w:tcBorders>
            <w:shd w:val="clear" w:color="000000" w:fill="D9D9D9"/>
            <w:vAlign w:val="center"/>
            <w:hideMark/>
          </w:tcPr>
          <w:p w14:paraId="0E2705E0" w14:textId="77777777" w:rsidR="00F110E7" w:rsidRPr="00B70F1A" w:rsidRDefault="00F110E7" w:rsidP="0033392E">
            <w:pPr>
              <w:jc w:val="right"/>
              <w:rPr>
                <w:bCs/>
                <w:color w:val="313231"/>
                <w:sz w:val="22"/>
                <w:szCs w:val="22"/>
              </w:rPr>
            </w:pPr>
            <w:r>
              <w:rPr>
                <w:bCs/>
                <w:color w:val="313231"/>
                <w:sz w:val="22"/>
                <w:szCs w:val="22"/>
              </w:rPr>
              <w:t>22.69</w:t>
            </w:r>
          </w:p>
        </w:tc>
      </w:tr>
      <w:tr w:rsidR="00F110E7" w:rsidRPr="00D36C9F" w14:paraId="79A9FF66" w14:textId="77777777" w:rsidTr="0033392E">
        <w:trPr>
          <w:trHeight w:val="315"/>
        </w:trPr>
        <w:tc>
          <w:tcPr>
            <w:tcW w:w="3940" w:type="dxa"/>
            <w:tcBorders>
              <w:top w:val="nil"/>
              <w:left w:val="single" w:sz="8" w:space="0" w:color="FFFFFF"/>
              <w:bottom w:val="single" w:sz="8" w:space="0" w:color="A5A6A5"/>
              <w:right w:val="nil"/>
            </w:tcBorders>
            <w:shd w:val="clear" w:color="auto" w:fill="auto"/>
            <w:vAlign w:val="center"/>
            <w:hideMark/>
          </w:tcPr>
          <w:p w14:paraId="0090308D" w14:textId="77777777" w:rsidR="00F110E7" w:rsidRPr="00D36C9F" w:rsidRDefault="00F110E7" w:rsidP="0033392E">
            <w:pPr>
              <w:rPr>
                <w:color w:val="313231"/>
                <w:sz w:val="22"/>
                <w:szCs w:val="22"/>
              </w:rPr>
            </w:pPr>
            <w:r w:rsidRPr="00D36C9F">
              <w:rPr>
                <w:color w:val="313231"/>
                <w:sz w:val="22"/>
                <w:szCs w:val="22"/>
              </w:rPr>
              <w:t>TfL (Transport)</w:t>
            </w:r>
          </w:p>
        </w:tc>
        <w:tc>
          <w:tcPr>
            <w:tcW w:w="1037" w:type="dxa"/>
            <w:tcBorders>
              <w:top w:val="nil"/>
              <w:left w:val="nil"/>
              <w:bottom w:val="single" w:sz="8" w:space="0" w:color="A5A6A5"/>
              <w:right w:val="nil"/>
            </w:tcBorders>
            <w:shd w:val="clear" w:color="auto" w:fill="D9D9D9"/>
            <w:vAlign w:val="center"/>
          </w:tcPr>
          <w:p w14:paraId="36A341C7" w14:textId="77777777" w:rsidR="00F110E7" w:rsidRPr="00B70F1A" w:rsidRDefault="00F110E7" w:rsidP="0033392E">
            <w:pPr>
              <w:jc w:val="right"/>
              <w:rPr>
                <w:bCs/>
                <w:color w:val="313231"/>
                <w:sz w:val="22"/>
                <w:szCs w:val="22"/>
              </w:rPr>
            </w:pPr>
            <w:r w:rsidRPr="00B70F1A">
              <w:rPr>
                <w:bCs/>
                <w:color w:val="313231"/>
                <w:sz w:val="22"/>
                <w:szCs w:val="22"/>
              </w:rPr>
              <w:t>2.00</w:t>
            </w:r>
          </w:p>
        </w:tc>
        <w:tc>
          <w:tcPr>
            <w:tcW w:w="960" w:type="dxa"/>
            <w:tcBorders>
              <w:top w:val="nil"/>
              <w:left w:val="nil"/>
              <w:bottom w:val="single" w:sz="8" w:space="0" w:color="A5A6A5"/>
              <w:right w:val="nil"/>
            </w:tcBorders>
            <w:shd w:val="clear" w:color="auto" w:fill="auto"/>
            <w:vAlign w:val="center"/>
            <w:hideMark/>
          </w:tcPr>
          <w:p w14:paraId="301F3DBF" w14:textId="77777777" w:rsidR="00F110E7" w:rsidRPr="00B70F1A" w:rsidRDefault="00F110E7" w:rsidP="0033392E">
            <w:pPr>
              <w:jc w:val="right"/>
              <w:rPr>
                <w:bCs/>
                <w:color w:val="313231"/>
                <w:sz w:val="22"/>
                <w:szCs w:val="22"/>
              </w:rPr>
            </w:pPr>
            <w:r w:rsidRPr="00B70F1A">
              <w:rPr>
                <w:bCs/>
                <w:color w:val="313231"/>
                <w:sz w:val="22"/>
                <w:szCs w:val="22"/>
              </w:rPr>
              <w:t>-0.0</w:t>
            </w:r>
            <w:r>
              <w:rPr>
                <w:bCs/>
                <w:color w:val="313231"/>
                <w:sz w:val="22"/>
                <w:szCs w:val="22"/>
              </w:rPr>
              <w:t>3</w:t>
            </w:r>
          </w:p>
        </w:tc>
        <w:tc>
          <w:tcPr>
            <w:tcW w:w="1166" w:type="dxa"/>
            <w:tcBorders>
              <w:top w:val="nil"/>
              <w:left w:val="nil"/>
              <w:bottom w:val="single" w:sz="8" w:space="0" w:color="A5A6A5"/>
              <w:right w:val="nil"/>
            </w:tcBorders>
            <w:shd w:val="clear" w:color="000000" w:fill="D9D9D9"/>
            <w:vAlign w:val="center"/>
            <w:hideMark/>
          </w:tcPr>
          <w:p w14:paraId="39908E25" w14:textId="77777777" w:rsidR="00F110E7" w:rsidRPr="00B70F1A" w:rsidRDefault="00F110E7" w:rsidP="0033392E">
            <w:pPr>
              <w:jc w:val="right"/>
              <w:rPr>
                <w:bCs/>
                <w:color w:val="313231"/>
                <w:sz w:val="22"/>
                <w:szCs w:val="22"/>
              </w:rPr>
            </w:pPr>
            <w:r>
              <w:rPr>
                <w:bCs/>
                <w:color w:val="313231"/>
                <w:sz w:val="22"/>
                <w:szCs w:val="22"/>
              </w:rPr>
              <w:t>1.97</w:t>
            </w:r>
          </w:p>
        </w:tc>
      </w:tr>
      <w:tr w:rsidR="00F110E7" w:rsidRPr="00D36C9F" w14:paraId="787726B7" w14:textId="77777777" w:rsidTr="0033392E">
        <w:trPr>
          <w:trHeight w:val="315"/>
        </w:trPr>
        <w:tc>
          <w:tcPr>
            <w:tcW w:w="3940" w:type="dxa"/>
            <w:tcBorders>
              <w:top w:val="nil"/>
              <w:left w:val="single" w:sz="8" w:space="0" w:color="FFFFFF"/>
              <w:bottom w:val="single" w:sz="8" w:space="0" w:color="A5A6A5"/>
              <w:right w:val="nil"/>
            </w:tcBorders>
            <w:shd w:val="clear" w:color="000000" w:fill="FFFFFF"/>
            <w:vAlign w:val="center"/>
            <w:hideMark/>
          </w:tcPr>
          <w:p w14:paraId="09B7E3B8" w14:textId="77777777" w:rsidR="00F110E7" w:rsidRPr="00D36C9F" w:rsidRDefault="00F110E7" w:rsidP="0033392E">
            <w:pPr>
              <w:rPr>
                <w:b/>
                <w:bCs/>
                <w:color w:val="313231"/>
                <w:sz w:val="22"/>
                <w:szCs w:val="22"/>
              </w:rPr>
            </w:pPr>
            <w:r w:rsidRPr="00D36C9F">
              <w:rPr>
                <w:b/>
                <w:bCs/>
                <w:color w:val="313231"/>
                <w:sz w:val="22"/>
                <w:szCs w:val="22"/>
              </w:rPr>
              <w:t>Total</w:t>
            </w:r>
          </w:p>
        </w:tc>
        <w:tc>
          <w:tcPr>
            <w:tcW w:w="1037" w:type="dxa"/>
            <w:tcBorders>
              <w:top w:val="nil"/>
              <w:left w:val="nil"/>
              <w:bottom w:val="single" w:sz="8" w:space="0" w:color="A5A6A5"/>
              <w:right w:val="nil"/>
            </w:tcBorders>
            <w:shd w:val="clear" w:color="000000" w:fill="D9D9D9"/>
            <w:vAlign w:val="center"/>
          </w:tcPr>
          <w:p w14:paraId="6EA7C077" w14:textId="77777777" w:rsidR="00F110E7" w:rsidRPr="006C39B1" w:rsidRDefault="00F110E7" w:rsidP="0033392E">
            <w:pPr>
              <w:jc w:val="right"/>
              <w:rPr>
                <w:b/>
                <w:bCs/>
                <w:color w:val="313231"/>
                <w:sz w:val="22"/>
                <w:szCs w:val="22"/>
              </w:rPr>
            </w:pPr>
            <w:r>
              <w:rPr>
                <w:b/>
                <w:bCs/>
                <w:color w:val="313231"/>
                <w:sz w:val="22"/>
                <w:szCs w:val="22"/>
              </w:rPr>
              <w:t>320.51</w:t>
            </w:r>
          </w:p>
        </w:tc>
        <w:tc>
          <w:tcPr>
            <w:tcW w:w="960" w:type="dxa"/>
            <w:tcBorders>
              <w:top w:val="nil"/>
              <w:left w:val="nil"/>
              <w:bottom w:val="single" w:sz="8" w:space="0" w:color="A5A6A5"/>
              <w:right w:val="nil"/>
            </w:tcBorders>
            <w:shd w:val="clear" w:color="000000" w:fill="FFFFFF"/>
            <w:vAlign w:val="center"/>
            <w:hideMark/>
          </w:tcPr>
          <w:p w14:paraId="348F7F08" w14:textId="77777777" w:rsidR="00F110E7" w:rsidRPr="00D36C9F" w:rsidRDefault="00F110E7" w:rsidP="0033392E">
            <w:pPr>
              <w:jc w:val="right"/>
              <w:rPr>
                <w:b/>
                <w:bCs/>
                <w:color w:val="313231"/>
                <w:sz w:val="22"/>
                <w:szCs w:val="22"/>
              </w:rPr>
            </w:pPr>
            <w:r>
              <w:rPr>
                <w:b/>
                <w:bCs/>
                <w:color w:val="313231"/>
                <w:sz w:val="22"/>
                <w:szCs w:val="22"/>
              </w:rPr>
              <w:t>11.56</w:t>
            </w:r>
          </w:p>
        </w:tc>
        <w:tc>
          <w:tcPr>
            <w:tcW w:w="1166" w:type="dxa"/>
            <w:tcBorders>
              <w:top w:val="nil"/>
              <w:left w:val="nil"/>
              <w:bottom w:val="single" w:sz="8" w:space="0" w:color="A5A6A5"/>
              <w:right w:val="nil"/>
            </w:tcBorders>
            <w:shd w:val="clear" w:color="000000" w:fill="D9D9D9"/>
            <w:vAlign w:val="center"/>
            <w:hideMark/>
          </w:tcPr>
          <w:p w14:paraId="00091BAB" w14:textId="77777777" w:rsidR="00F110E7" w:rsidRPr="00D36C9F" w:rsidRDefault="00F110E7" w:rsidP="0033392E">
            <w:pPr>
              <w:jc w:val="right"/>
              <w:rPr>
                <w:b/>
                <w:bCs/>
                <w:color w:val="313231"/>
                <w:sz w:val="22"/>
                <w:szCs w:val="22"/>
              </w:rPr>
            </w:pPr>
            <w:r>
              <w:rPr>
                <w:b/>
                <w:bCs/>
                <w:color w:val="313231"/>
                <w:sz w:val="22"/>
                <w:szCs w:val="22"/>
              </w:rPr>
              <w:t>332.07</w:t>
            </w:r>
          </w:p>
        </w:tc>
      </w:tr>
    </w:tbl>
    <w:p w14:paraId="0E153225" w14:textId="77777777" w:rsidR="00F110E7" w:rsidRPr="00D36C9F" w:rsidRDefault="00F110E7" w:rsidP="00F110E7">
      <w:pPr>
        <w:pStyle w:val="Header"/>
        <w:spacing w:after="60"/>
        <w:rPr>
          <w:b/>
          <w:bCs/>
        </w:rPr>
      </w:pPr>
    </w:p>
    <w:p w14:paraId="5E3179B3" w14:textId="77777777" w:rsidR="00F110E7" w:rsidRPr="00A3286E" w:rsidRDefault="00F110E7" w:rsidP="00F110E7">
      <w:pPr>
        <w:rPr>
          <w:b/>
          <w:bCs/>
          <w:sz w:val="22"/>
          <w:szCs w:val="22"/>
        </w:rPr>
      </w:pPr>
      <w:r w:rsidRPr="00A3286E">
        <w:rPr>
          <w:b/>
          <w:bCs/>
          <w:sz w:val="22"/>
          <w:szCs w:val="22"/>
        </w:rPr>
        <w:t xml:space="preserve">Controlling costs at City Hall and delivering the Mayor’s key priorities </w:t>
      </w:r>
    </w:p>
    <w:p w14:paraId="2B16B413" w14:textId="77777777" w:rsidR="00F110E7" w:rsidRDefault="00F110E7" w:rsidP="00F110E7">
      <w:pPr>
        <w:rPr>
          <w:sz w:val="22"/>
          <w:szCs w:val="22"/>
        </w:rPr>
      </w:pPr>
      <w:bookmarkStart w:id="3" w:name="_Hlk1400067"/>
      <w:r w:rsidRPr="00A3286E">
        <w:rPr>
          <w:sz w:val="22"/>
          <w:szCs w:val="22"/>
        </w:rPr>
        <w:t xml:space="preserve">The Mayor’s budget includes significant savings across the GLA Group in </w:t>
      </w:r>
      <w:r>
        <w:rPr>
          <w:sz w:val="22"/>
          <w:szCs w:val="22"/>
        </w:rPr>
        <w:t>2020-21</w:t>
      </w:r>
      <w:r w:rsidRPr="00A3286E">
        <w:rPr>
          <w:sz w:val="22"/>
          <w:szCs w:val="22"/>
        </w:rPr>
        <w:t xml:space="preserve">. This has allowed him to release resources to </w:t>
      </w:r>
      <w:r>
        <w:rPr>
          <w:sz w:val="22"/>
          <w:szCs w:val="22"/>
        </w:rPr>
        <w:t xml:space="preserve">help </w:t>
      </w:r>
      <w:r w:rsidRPr="00A3286E">
        <w:rPr>
          <w:sz w:val="22"/>
          <w:szCs w:val="22"/>
        </w:rPr>
        <w:t xml:space="preserve">meet his key priorities. </w:t>
      </w:r>
      <w:r>
        <w:rPr>
          <w:sz w:val="22"/>
          <w:szCs w:val="22"/>
        </w:rPr>
        <w:t xml:space="preserve">This includes plans to invest £4.8 billion to support starts of 116,000 new affordable homes in London by 2022 and </w:t>
      </w:r>
      <w:r w:rsidR="00063348">
        <w:rPr>
          <w:sz w:val="22"/>
          <w:szCs w:val="22"/>
        </w:rPr>
        <w:t xml:space="preserve">extra </w:t>
      </w:r>
      <w:r>
        <w:rPr>
          <w:sz w:val="22"/>
          <w:szCs w:val="22"/>
        </w:rPr>
        <w:t>resources to tackle homelessness and reduce rough sleeping. The Mayor will also provide extra funding to support disadvantaged young Londoners and increase investment in green spaces. He has taken steps to improve air quality in London by introducing the Ultra Low Emission Zone in central London which will be expanded to the North and South Circular roads in Autumn 2021. An additional £50 million has also been allocated to fund a Green New Deal for London to address the climate change emergency. The Mayor is also providing funding for around 1,000 cultural and community events across London and for the planting of thousands more street trees over the next year.</w:t>
      </w:r>
    </w:p>
    <w:p w14:paraId="210713E5" w14:textId="77777777" w:rsidR="00F110E7" w:rsidRPr="00A3286E" w:rsidRDefault="00F110E7" w:rsidP="00F110E7">
      <w:pPr>
        <w:rPr>
          <w:sz w:val="22"/>
          <w:szCs w:val="22"/>
        </w:rPr>
      </w:pPr>
    </w:p>
    <w:p w14:paraId="27930D9D" w14:textId="77777777" w:rsidR="00F110E7" w:rsidRPr="00A3286E" w:rsidRDefault="00F110E7" w:rsidP="00F110E7">
      <w:pPr>
        <w:rPr>
          <w:sz w:val="22"/>
          <w:szCs w:val="22"/>
        </w:rPr>
      </w:pPr>
      <w:r w:rsidRPr="00A3286E">
        <w:rPr>
          <w:sz w:val="22"/>
          <w:szCs w:val="22"/>
        </w:rPr>
        <w:t xml:space="preserve">The Mayor will also work with London’s business community and key investors to ensure London’s interests are protected </w:t>
      </w:r>
      <w:r>
        <w:rPr>
          <w:sz w:val="22"/>
          <w:szCs w:val="22"/>
        </w:rPr>
        <w:t>following the UK’s departure from the European Union</w:t>
      </w:r>
      <w:r w:rsidRPr="00A3286E">
        <w:rPr>
          <w:sz w:val="22"/>
          <w:szCs w:val="22"/>
        </w:rPr>
        <w:t>. He will provide funding for new projects to bring communities toge</w:t>
      </w:r>
      <w:r>
        <w:rPr>
          <w:sz w:val="22"/>
          <w:szCs w:val="22"/>
        </w:rPr>
        <w:t xml:space="preserve">ther, tackle social inequality </w:t>
      </w:r>
      <w:r w:rsidRPr="00A3286E">
        <w:rPr>
          <w:sz w:val="22"/>
          <w:szCs w:val="22"/>
        </w:rPr>
        <w:t>and boost London’s economy</w:t>
      </w:r>
      <w:r>
        <w:rPr>
          <w:sz w:val="22"/>
          <w:szCs w:val="22"/>
        </w:rPr>
        <w:t xml:space="preserve"> including supporting projects to help over 6,400 small and medium sized businesses.</w:t>
      </w:r>
    </w:p>
    <w:bookmarkEnd w:id="3"/>
    <w:p w14:paraId="4F7DF635" w14:textId="77777777" w:rsidR="00F110E7" w:rsidRPr="00A3286E" w:rsidRDefault="00F110E7" w:rsidP="00F110E7">
      <w:pPr>
        <w:rPr>
          <w:sz w:val="22"/>
          <w:szCs w:val="22"/>
        </w:rPr>
      </w:pPr>
    </w:p>
    <w:p w14:paraId="2E5B359B" w14:textId="77777777" w:rsidR="00F110E7" w:rsidRPr="00A3286E" w:rsidRDefault="00F110E7" w:rsidP="00F110E7">
      <w:pPr>
        <w:rPr>
          <w:b/>
          <w:bCs/>
          <w:sz w:val="22"/>
          <w:szCs w:val="22"/>
        </w:rPr>
      </w:pPr>
      <w:r w:rsidRPr="00A3286E">
        <w:rPr>
          <w:b/>
          <w:bCs/>
          <w:sz w:val="22"/>
          <w:szCs w:val="22"/>
        </w:rPr>
        <w:t>The Mayor’s Office for Policing and Crime (MOPAC)</w:t>
      </w:r>
    </w:p>
    <w:p w14:paraId="7C2459CA" w14:textId="77777777" w:rsidR="00F110E7" w:rsidRPr="00DD4754" w:rsidRDefault="00F110E7" w:rsidP="00F110E7">
      <w:pPr>
        <w:rPr>
          <w:sz w:val="22"/>
          <w:szCs w:val="22"/>
        </w:rPr>
      </w:pPr>
      <w:r w:rsidRPr="00DD4754">
        <w:rPr>
          <w:sz w:val="22"/>
          <w:szCs w:val="22"/>
        </w:rPr>
        <w:t>The Mayor’s Police and Crime Plan – a Safer City for Londoners 2017-21 - sets out his strategy for policing and community safety in the city. His key priorities include improving the Metropolitan Police Service (MPS), providing a better criminal justice service in London and keeping children and young people safe. He will also</w:t>
      </w:r>
      <w:r>
        <w:rPr>
          <w:sz w:val="22"/>
          <w:szCs w:val="22"/>
        </w:rPr>
        <w:t xml:space="preserve"> provide resources to</w:t>
      </w:r>
      <w:r w:rsidRPr="00DD4754">
        <w:rPr>
          <w:sz w:val="22"/>
          <w:szCs w:val="22"/>
        </w:rPr>
        <w:t xml:space="preserve"> tackle domestic violence which particularly affects women and girls and </w:t>
      </w:r>
      <w:r>
        <w:rPr>
          <w:sz w:val="22"/>
          <w:szCs w:val="22"/>
        </w:rPr>
        <w:t>invest an extra £56 million to tackle the complex causes of violent crime.</w:t>
      </w:r>
    </w:p>
    <w:p w14:paraId="19959C76" w14:textId="77777777" w:rsidR="00F110E7" w:rsidRPr="00DD4754" w:rsidRDefault="00F110E7" w:rsidP="00F110E7">
      <w:pPr>
        <w:rPr>
          <w:sz w:val="22"/>
          <w:szCs w:val="22"/>
        </w:rPr>
      </w:pPr>
      <w:r w:rsidRPr="00DD4754">
        <w:rPr>
          <w:sz w:val="22"/>
          <w:szCs w:val="22"/>
        </w:rPr>
        <w:t xml:space="preserve"> </w:t>
      </w:r>
    </w:p>
    <w:p w14:paraId="1BA01AEF" w14:textId="77777777" w:rsidR="00F110E7" w:rsidRDefault="00F110E7" w:rsidP="00F110E7">
      <w:pPr>
        <w:rPr>
          <w:sz w:val="22"/>
          <w:szCs w:val="22"/>
        </w:rPr>
      </w:pPr>
    </w:p>
    <w:p w14:paraId="683601E9" w14:textId="77777777" w:rsidR="00063348" w:rsidRDefault="00063348" w:rsidP="00F110E7">
      <w:pPr>
        <w:rPr>
          <w:sz w:val="22"/>
          <w:szCs w:val="22"/>
        </w:rPr>
      </w:pPr>
    </w:p>
    <w:p w14:paraId="7AF44599" w14:textId="77777777" w:rsidR="00F110E7" w:rsidRPr="00DD4754" w:rsidRDefault="00F110E7" w:rsidP="00F110E7">
      <w:pPr>
        <w:rPr>
          <w:sz w:val="22"/>
          <w:szCs w:val="22"/>
        </w:rPr>
      </w:pPr>
      <w:r w:rsidRPr="00DD4754">
        <w:rPr>
          <w:sz w:val="22"/>
          <w:szCs w:val="22"/>
        </w:rPr>
        <w:lastRenderedPageBreak/>
        <w:t xml:space="preserve">The MPS has to rise to meet these challenges at a time of acute financial pressure. As a result of the reductions in </w:t>
      </w:r>
      <w:r>
        <w:rPr>
          <w:sz w:val="22"/>
          <w:szCs w:val="22"/>
        </w:rPr>
        <w:t>resources</w:t>
      </w:r>
      <w:r w:rsidRPr="00DD4754">
        <w:rPr>
          <w:sz w:val="22"/>
          <w:szCs w:val="22"/>
        </w:rPr>
        <w:t xml:space="preserve"> for policing over the last decade, officer numbers fell to the lowest levels in fifteen years, it has had to close more than 100 police stations and remove 2,800 police support staff and Police Community Support Officer roles in order to protect officer numbers.</w:t>
      </w:r>
    </w:p>
    <w:p w14:paraId="081EE563" w14:textId="77777777" w:rsidR="00F110E7" w:rsidRPr="00DD4754" w:rsidRDefault="00F110E7" w:rsidP="00F110E7">
      <w:pPr>
        <w:rPr>
          <w:sz w:val="22"/>
          <w:szCs w:val="22"/>
        </w:rPr>
      </w:pPr>
      <w:r w:rsidRPr="00DD4754">
        <w:rPr>
          <w:sz w:val="22"/>
          <w:szCs w:val="22"/>
        </w:rPr>
        <w:t xml:space="preserve"> </w:t>
      </w:r>
    </w:p>
    <w:p w14:paraId="2452C289" w14:textId="77777777" w:rsidR="00F110E7" w:rsidRPr="00DD4754" w:rsidRDefault="00F110E7" w:rsidP="00F110E7">
      <w:pPr>
        <w:rPr>
          <w:sz w:val="22"/>
          <w:szCs w:val="22"/>
        </w:rPr>
      </w:pPr>
      <w:r>
        <w:rPr>
          <w:sz w:val="22"/>
          <w:szCs w:val="22"/>
        </w:rPr>
        <w:t>T</w:t>
      </w:r>
      <w:r w:rsidRPr="00DD4754">
        <w:rPr>
          <w:sz w:val="22"/>
          <w:szCs w:val="22"/>
        </w:rPr>
        <w:t xml:space="preserve">he Mayor is raising the police element of his council tax precept by £10 for a typical Band D property. He will also maintain an additional £59 million of funding through business rates. In all, through his budget decisions the Mayor </w:t>
      </w:r>
      <w:r>
        <w:rPr>
          <w:sz w:val="22"/>
          <w:szCs w:val="22"/>
        </w:rPr>
        <w:t>has</w:t>
      </w:r>
      <w:r w:rsidRPr="00DD4754">
        <w:rPr>
          <w:sz w:val="22"/>
          <w:szCs w:val="22"/>
        </w:rPr>
        <w:t xml:space="preserve"> fun</w:t>
      </w:r>
      <w:r>
        <w:rPr>
          <w:sz w:val="22"/>
          <w:szCs w:val="22"/>
        </w:rPr>
        <w:t>ded</w:t>
      </w:r>
      <w:r w:rsidRPr="00DD4754">
        <w:rPr>
          <w:sz w:val="22"/>
          <w:szCs w:val="22"/>
        </w:rPr>
        <w:t xml:space="preserve"> an additional 1,300 officer posts</w:t>
      </w:r>
      <w:r>
        <w:rPr>
          <w:sz w:val="22"/>
          <w:szCs w:val="22"/>
        </w:rPr>
        <w:t xml:space="preserve"> from locally raised revenues</w:t>
      </w:r>
      <w:r w:rsidRPr="00DD4754">
        <w:rPr>
          <w:sz w:val="22"/>
          <w:szCs w:val="22"/>
        </w:rPr>
        <w:t xml:space="preserve">.  </w:t>
      </w:r>
    </w:p>
    <w:p w14:paraId="15FDC4C2" w14:textId="77777777" w:rsidR="00F110E7" w:rsidRDefault="00F110E7" w:rsidP="00F110E7">
      <w:pPr>
        <w:rPr>
          <w:sz w:val="22"/>
          <w:szCs w:val="22"/>
        </w:rPr>
      </w:pPr>
    </w:p>
    <w:p w14:paraId="437208CA" w14:textId="77777777" w:rsidR="00F110E7" w:rsidRPr="004C7ECF" w:rsidRDefault="00F110E7" w:rsidP="00F110E7">
      <w:pPr>
        <w:pStyle w:val="BodyTextIndent"/>
        <w:spacing w:after="60"/>
        <w:ind w:left="0"/>
        <w:rPr>
          <w:b/>
          <w:bCs/>
          <w:sz w:val="22"/>
          <w:szCs w:val="22"/>
        </w:rPr>
      </w:pPr>
      <w:r w:rsidRPr="004C7ECF">
        <w:rPr>
          <w:b/>
          <w:bCs/>
          <w:sz w:val="22"/>
          <w:szCs w:val="22"/>
        </w:rPr>
        <w:t>Transport for London (TfL)</w:t>
      </w:r>
    </w:p>
    <w:p w14:paraId="08C7FDB6" w14:textId="77777777" w:rsidR="00F110E7" w:rsidRPr="00A3286E" w:rsidRDefault="00F110E7" w:rsidP="00F110E7">
      <w:pPr>
        <w:rPr>
          <w:sz w:val="22"/>
          <w:szCs w:val="22"/>
        </w:rPr>
      </w:pPr>
      <w:r w:rsidRPr="00A3286E">
        <w:rPr>
          <w:sz w:val="22"/>
          <w:szCs w:val="22"/>
        </w:rPr>
        <w:t>London’s population is forecast to grow by one million in the next decade. TfL is investing to make the transport network more reliable and accessible. The Mayor’s priorities for TfL</w:t>
      </w:r>
      <w:r>
        <w:rPr>
          <w:sz w:val="22"/>
          <w:szCs w:val="22"/>
        </w:rPr>
        <w:t xml:space="preserve"> include</w:t>
      </w:r>
      <w:r w:rsidRPr="00A3286E">
        <w:rPr>
          <w:sz w:val="22"/>
          <w:szCs w:val="22"/>
        </w:rPr>
        <w:t>:</w:t>
      </w:r>
    </w:p>
    <w:p w14:paraId="7B5CD7CD" w14:textId="77777777" w:rsidR="00F110E7" w:rsidRPr="00A3286E" w:rsidRDefault="00F110E7" w:rsidP="00F110E7">
      <w:pPr>
        <w:rPr>
          <w:sz w:val="22"/>
          <w:szCs w:val="22"/>
        </w:rPr>
      </w:pPr>
    </w:p>
    <w:p w14:paraId="33CFC584" w14:textId="77777777" w:rsidR="00F110E7" w:rsidRPr="00A3286E" w:rsidRDefault="00F110E7" w:rsidP="00F110E7">
      <w:pPr>
        <w:pStyle w:val="ListParagraph"/>
        <w:numPr>
          <w:ilvl w:val="0"/>
          <w:numId w:val="2"/>
        </w:numPr>
        <w:rPr>
          <w:sz w:val="22"/>
          <w:szCs w:val="22"/>
        </w:rPr>
      </w:pPr>
      <w:bookmarkStart w:id="4" w:name="_Hlk506486907"/>
      <w:r w:rsidRPr="00A3286E">
        <w:rPr>
          <w:sz w:val="22"/>
          <w:szCs w:val="22"/>
        </w:rPr>
        <w:t xml:space="preserve">making transport more affordable. Single bus fares, single pay as you go fares on the Tube and DLR and the charges for the Santander cycle hire scheme </w:t>
      </w:r>
      <w:r>
        <w:rPr>
          <w:sz w:val="22"/>
          <w:szCs w:val="22"/>
        </w:rPr>
        <w:t>have been frozen again in 2020</w:t>
      </w:r>
      <w:r w:rsidRPr="00A3286E">
        <w:rPr>
          <w:sz w:val="22"/>
          <w:szCs w:val="22"/>
        </w:rPr>
        <w:t xml:space="preserve">.  </w:t>
      </w:r>
      <w:r>
        <w:rPr>
          <w:sz w:val="22"/>
          <w:szCs w:val="22"/>
        </w:rPr>
        <w:t xml:space="preserve">This will save </w:t>
      </w:r>
      <w:r w:rsidRPr="00A3286E">
        <w:rPr>
          <w:sz w:val="22"/>
          <w:szCs w:val="22"/>
        </w:rPr>
        <w:t xml:space="preserve">travellers an estimated £40 million </w:t>
      </w:r>
      <w:r w:rsidR="00114553">
        <w:rPr>
          <w:sz w:val="22"/>
          <w:szCs w:val="22"/>
        </w:rPr>
        <w:t>a year</w:t>
      </w:r>
      <w:r>
        <w:rPr>
          <w:sz w:val="22"/>
          <w:szCs w:val="22"/>
        </w:rPr>
        <w:t>;</w:t>
      </w:r>
    </w:p>
    <w:p w14:paraId="44D91E1D" w14:textId="77777777" w:rsidR="00F110E7" w:rsidRPr="00A3286E" w:rsidRDefault="00F110E7" w:rsidP="00F110E7">
      <w:pPr>
        <w:pStyle w:val="ListParagraph"/>
        <w:numPr>
          <w:ilvl w:val="0"/>
          <w:numId w:val="2"/>
        </w:numPr>
        <w:rPr>
          <w:sz w:val="22"/>
          <w:szCs w:val="22"/>
        </w:rPr>
      </w:pPr>
      <w:r>
        <w:rPr>
          <w:sz w:val="22"/>
          <w:szCs w:val="22"/>
        </w:rPr>
        <w:t xml:space="preserve">maintaining the </w:t>
      </w:r>
      <w:r w:rsidRPr="00A3286E">
        <w:rPr>
          <w:sz w:val="22"/>
          <w:szCs w:val="22"/>
        </w:rPr>
        <w:t>Bus and Tram one</w:t>
      </w:r>
      <w:r>
        <w:rPr>
          <w:sz w:val="22"/>
          <w:szCs w:val="22"/>
        </w:rPr>
        <w:t>-</w:t>
      </w:r>
      <w:r w:rsidRPr="00A3286E">
        <w:rPr>
          <w:sz w:val="22"/>
          <w:szCs w:val="22"/>
        </w:rPr>
        <w:t xml:space="preserve">hour Hopper fare </w:t>
      </w:r>
      <w:r>
        <w:rPr>
          <w:sz w:val="22"/>
          <w:szCs w:val="22"/>
        </w:rPr>
        <w:t>and investing to improve</w:t>
      </w:r>
      <w:r w:rsidRPr="00A3286E">
        <w:rPr>
          <w:sz w:val="22"/>
          <w:szCs w:val="22"/>
        </w:rPr>
        <w:t xml:space="preserve"> journey times and reliability on the </w:t>
      </w:r>
      <w:r>
        <w:rPr>
          <w:sz w:val="22"/>
          <w:szCs w:val="22"/>
        </w:rPr>
        <w:t>b</w:t>
      </w:r>
      <w:r w:rsidRPr="00A3286E">
        <w:rPr>
          <w:sz w:val="22"/>
          <w:szCs w:val="22"/>
        </w:rPr>
        <w:t>us network</w:t>
      </w:r>
      <w:r>
        <w:rPr>
          <w:sz w:val="22"/>
          <w:szCs w:val="22"/>
        </w:rPr>
        <w:t>;</w:t>
      </w:r>
    </w:p>
    <w:p w14:paraId="58650B1C" w14:textId="77777777" w:rsidR="00F110E7" w:rsidRPr="004C7ECF" w:rsidRDefault="00F110E7" w:rsidP="00F110E7">
      <w:pPr>
        <w:numPr>
          <w:ilvl w:val="0"/>
          <w:numId w:val="2"/>
        </w:numPr>
        <w:rPr>
          <w:sz w:val="22"/>
          <w:szCs w:val="22"/>
        </w:rPr>
      </w:pPr>
      <w:r w:rsidRPr="000A2128">
        <w:rPr>
          <w:sz w:val="22"/>
          <w:szCs w:val="22"/>
        </w:rPr>
        <w:t xml:space="preserve">working with London boroughs to maintain existing concessionary travel and assisted door to door transport </w:t>
      </w:r>
      <w:r w:rsidRPr="004C7ECF">
        <w:rPr>
          <w:sz w:val="22"/>
          <w:szCs w:val="22"/>
        </w:rPr>
        <w:t>schemes. This includes providing free 24-hour travel for the over 60s, the disabled, armed forces personnel in uniform and eligible war veterans and protecting the Taxicard and Dial a Ride schemes. Discounts on travelcards are also available for apprentices</w:t>
      </w:r>
      <w:r>
        <w:rPr>
          <w:sz w:val="22"/>
          <w:szCs w:val="22"/>
        </w:rPr>
        <w:t>;</w:t>
      </w:r>
    </w:p>
    <w:p w14:paraId="37682370" w14:textId="77777777" w:rsidR="00F110E7" w:rsidRPr="004C7ECF" w:rsidRDefault="00F110E7" w:rsidP="00F110E7">
      <w:pPr>
        <w:pStyle w:val="ListParagraph"/>
        <w:numPr>
          <w:ilvl w:val="0"/>
          <w:numId w:val="2"/>
        </w:numPr>
        <w:rPr>
          <w:sz w:val="22"/>
          <w:szCs w:val="22"/>
        </w:rPr>
      </w:pPr>
      <w:bookmarkStart w:id="5" w:name="_Hlk506486868"/>
      <w:r w:rsidRPr="004C7ECF">
        <w:rPr>
          <w:sz w:val="22"/>
          <w:szCs w:val="22"/>
        </w:rPr>
        <w:t>increasing capacity on the London Underground and rail services</w:t>
      </w:r>
      <w:r w:rsidRPr="0012670D">
        <w:rPr>
          <w:sz w:val="22"/>
          <w:szCs w:val="22"/>
        </w:rPr>
        <w:t xml:space="preserve"> </w:t>
      </w:r>
      <w:r>
        <w:rPr>
          <w:sz w:val="22"/>
          <w:szCs w:val="22"/>
        </w:rPr>
        <w:t>and maintaining the Night Tube and Night Overground services;</w:t>
      </w:r>
    </w:p>
    <w:bookmarkEnd w:id="5"/>
    <w:p w14:paraId="3124599A" w14:textId="77777777" w:rsidR="00F110E7" w:rsidRDefault="00F110E7" w:rsidP="00F110E7">
      <w:pPr>
        <w:pStyle w:val="ListParagraph"/>
        <w:numPr>
          <w:ilvl w:val="0"/>
          <w:numId w:val="2"/>
        </w:numPr>
        <w:rPr>
          <w:sz w:val="22"/>
          <w:szCs w:val="22"/>
        </w:rPr>
      </w:pPr>
      <w:r w:rsidRPr="00825CA9">
        <w:rPr>
          <w:sz w:val="22"/>
          <w:szCs w:val="22"/>
        </w:rPr>
        <w:t xml:space="preserve">extending the Barking Gospel Oak line to Barking Riverside </w:t>
      </w:r>
      <w:r w:rsidRPr="00A92DB1">
        <w:rPr>
          <w:sz w:val="22"/>
          <w:szCs w:val="22"/>
        </w:rPr>
        <w:t>and expanding</w:t>
      </w:r>
      <w:r>
        <w:rPr>
          <w:sz w:val="22"/>
          <w:szCs w:val="22"/>
        </w:rPr>
        <w:t xml:space="preserve"> capacity on</w:t>
      </w:r>
      <w:r w:rsidRPr="00A92DB1">
        <w:rPr>
          <w:sz w:val="22"/>
          <w:szCs w:val="22"/>
        </w:rPr>
        <w:t xml:space="preserve"> the DLR and tram network</w:t>
      </w:r>
      <w:r>
        <w:rPr>
          <w:sz w:val="22"/>
          <w:szCs w:val="22"/>
        </w:rPr>
        <w:t>;</w:t>
      </w:r>
    </w:p>
    <w:p w14:paraId="5A8E4196" w14:textId="77777777" w:rsidR="00F110E7" w:rsidRPr="004C7ECF" w:rsidRDefault="00F110E7" w:rsidP="00F110E7">
      <w:pPr>
        <w:pStyle w:val="ListParagraph"/>
        <w:numPr>
          <w:ilvl w:val="0"/>
          <w:numId w:val="2"/>
        </w:numPr>
        <w:rPr>
          <w:sz w:val="22"/>
          <w:szCs w:val="22"/>
        </w:rPr>
      </w:pPr>
      <w:r w:rsidRPr="004C7ECF">
        <w:rPr>
          <w:sz w:val="22"/>
          <w:szCs w:val="22"/>
        </w:rPr>
        <w:t>planning for the Bakerloo line extension to south east London and new river crossings in east London</w:t>
      </w:r>
      <w:r>
        <w:rPr>
          <w:sz w:val="22"/>
          <w:szCs w:val="22"/>
        </w:rPr>
        <w:t>;</w:t>
      </w:r>
    </w:p>
    <w:bookmarkEnd w:id="4"/>
    <w:p w14:paraId="1E76ECC3" w14:textId="77777777" w:rsidR="00F110E7" w:rsidRDefault="00F110E7" w:rsidP="00F110E7">
      <w:pPr>
        <w:pStyle w:val="ListParagraph"/>
        <w:numPr>
          <w:ilvl w:val="0"/>
          <w:numId w:val="2"/>
        </w:numPr>
        <w:rPr>
          <w:sz w:val="22"/>
          <w:szCs w:val="22"/>
        </w:rPr>
      </w:pPr>
      <w:r>
        <w:rPr>
          <w:sz w:val="22"/>
          <w:szCs w:val="22"/>
        </w:rPr>
        <w:t xml:space="preserve">working to complete </w:t>
      </w:r>
      <w:r w:rsidRPr="004C7ECF">
        <w:rPr>
          <w:sz w:val="22"/>
          <w:szCs w:val="22"/>
        </w:rPr>
        <w:t xml:space="preserve">the Elizabeth line (formerly Crossrail) </w:t>
      </w:r>
      <w:r>
        <w:rPr>
          <w:sz w:val="22"/>
          <w:szCs w:val="22"/>
        </w:rPr>
        <w:t xml:space="preserve">- </w:t>
      </w:r>
      <w:r w:rsidRPr="004C7ECF">
        <w:rPr>
          <w:sz w:val="22"/>
          <w:szCs w:val="22"/>
        </w:rPr>
        <w:t xml:space="preserve">which will increase </w:t>
      </w:r>
      <w:r>
        <w:rPr>
          <w:sz w:val="22"/>
          <w:szCs w:val="22"/>
        </w:rPr>
        <w:t xml:space="preserve">central </w:t>
      </w:r>
      <w:r w:rsidRPr="004C7ECF">
        <w:rPr>
          <w:sz w:val="22"/>
          <w:szCs w:val="22"/>
        </w:rPr>
        <w:t xml:space="preserve">London’s rail capacity by ten per cent </w:t>
      </w:r>
      <w:r>
        <w:rPr>
          <w:sz w:val="22"/>
          <w:szCs w:val="22"/>
        </w:rPr>
        <w:t xml:space="preserve">- </w:t>
      </w:r>
      <w:r w:rsidRPr="004C7ECF">
        <w:rPr>
          <w:sz w:val="22"/>
          <w:szCs w:val="22"/>
        </w:rPr>
        <w:t xml:space="preserve">and the Northern line extension to Nine Elms and Battersea Power station </w:t>
      </w:r>
      <w:r>
        <w:rPr>
          <w:sz w:val="22"/>
          <w:szCs w:val="22"/>
        </w:rPr>
        <w:t>as soon as possible;</w:t>
      </w:r>
    </w:p>
    <w:p w14:paraId="5365C370" w14:textId="77777777" w:rsidR="00F110E7" w:rsidRDefault="00F110E7" w:rsidP="00F110E7">
      <w:pPr>
        <w:pStyle w:val="ListParagraph"/>
        <w:numPr>
          <w:ilvl w:val="0"/>
          <w:numId w:val="2"/>
        </w:numPr>
        <w:rPr>
          <w:sz w:val="22"/>
          <w:szCs w:val="22"/>
        </w:rPr>
      </w:pPr>
      <w:r>
        <w:rPr>
          <w:sz w:val="22"/>
          <w:szCs w:val="22"/>
        </w:rPr>
        <w:t>developing plans and securing funding to deliver refurbished trains on the Central Line and deliver a new spacious state of the art fleet on the Piccadilly line;</w:t>
      </w:r>
    </w:p>
    <w:p w14:paraId="02078E49" w14:textId="77777777" w:rsidR="00F110E7" w:rsidRDefault="00F110E7" w:rsidP="00F110E7">
      <w:pPr>
        <w:pStyle w:val="ListParagraph"/>
        <w:numPr>
          <w:ilvl w:val="0"/>
          <w:numId w:val="2"/>
        </w:numPr>
        <w:rPr>
          <w:sz w:val="22"/>
          <w:szCs w:val="22"/>
        </w:rPr>
      </w:pPr>
      <w:bookmarkStart w:id="6" w:name="_Hlk1400438"/>
      <w:r>
        <w:rPr>
          <w:sz w:val="22"/>
          <w:szCs w:val="22"/>
        </w:rPr>
        <w:t xml:space="preserve">introducing an </w:t>
      </w:r>
      <w:r>
        <w:rPr>
          <w:rFonts w:cs="Foundry Form Sans"/>
          <w:sz w:val="22"/>
          <w:szCs w:val="22"/>
        </w:rPr>
        <w:t xml:space="preserve">Ultra Low Emission Zone in central London to tackle local air pollution which will be extended to the North and South Circular roads by </w:t>
      </w:r>
      <w:r w:rsidR="00114553">
        <w:rPr>
          <w:rFonts w:cs="Foundry Form Sans"/>
          <w:sz w:val="22"/>
          <w:szCs w:val="22"/>
        </w:rPr>
        <w:t>a</w:t>
      </w:r>
      <w:r>
        <w:rPr>
          <w:rFonts w:cs="Foundry Form Sans"/>
          <w:sz w:val="22"/>
          <w:szCs w:val="22"/>
        </w:rPr>
        <w:t>utumn 2021;</w:t>
      </w:r>
    </w:p>
    <w:p w14:paraId="76EA3DE3" w14:textId="77777777" w:rsidR="00F110E7" w:rsidRDefault="00F110E7" w:rsidP="00F110E7">
      <w:pPr>
        <w:pStyle w:val="ListParagraph"/>
        <w:numPr>
          <w:ilvl w:val="0"/>
          <w:numId w:val="2"/>
        </w:numPr>
        <w:rPr>
          <w:sz w:val="22"/>
          <w:szCs w:val="22"/>
        </w:rPr>
      </w:pPr>
      <w:r>
        <w:rPr>
          <w:sz w:val="22"/>
          <w:szCs w:val="22"/>
        </w:rPr>
        <w:t>making public transport more accessible for everyone. By 2024 nearly 40 per cent of tube stations are expected to be step free</w:t>
      </w:r>
      <w:r w:rsidRPr="00054B98">
        <w:rPr>
          <w:sz w:val="22"/>
          <w:szCs w:val="22"/>
        </w:rPr>
        <w:t>.</w:t>
      </w:r>
      <w:r>
        <w:rPr>
          <w:sz w:val="22"/>
          <w:szCs w:val="22"/>
        </w:rPr>
        <w:t xml:space="preserve"> All new Elizabeth line stations will also be step free; and</w:t>
      </w:r>
    </w:p>
    <w:p w14:paraId="13553697" w14:textId="77777777" w:rsidR="00F110E7" w:rsidRDefault="00F110E7" w:rsidP="00F110E7">
      <w:pPr>
        <w:pStyle w:val="ListParagraph"/>
        <w:numPr>
          <w:ilvl w:val="0"/>
          <w:numId w:val="2"/>
        </w:numPr>
        <w:rPr>
          <w:sz w:val="22"/>
          <w:szCs w:val="22"/>
        </w:rPr>
      </w:pPr>
      <w:r>
        <w:rPr>
          <w:sz w:val="22"/>
          <w:szCs w:val="22"/>
        </w:rPr>
        <w:t>investing a record £2.3 billion by 2024 through his Healthy Streets scheme to fund a range of schemes designed to make walking, cycling and public transport safer, cleaner and more appealing in partnership with London boroughs.</w:t>
      </w:r>
    </w:p>
    <w:bookmarkEnd w:id="6"/>
    <w:p w14:paraId="471BF27B" w14:textId="77777777" w:rsidR="00F110E7" w:rsidRPr="00A92DB1" w:rsidRDefault="00F110E7" w:rsidP="00F110E7">
      <w:pPr>
        <w:pStyle w:val="ListParagraph"/>
        <w:rPr>
          <w:sz w:val="22"/>
          <w:szCs w:val="22"/>
        </w:rPr>
      </w:pPr>
    </w:p>
    <w:p w14:paraId="1632384C" w14:textId="77777777" w:rsidR="00F110E7" w:rsidRPr="00A3286E" w:rsidRDefault="00F110E7" w:rsidP="00F110E7">
      <w:pPr>
        <w:rPr>
          <w:sz w:val="22"/>
          <w:szCs w:val="22"/>
        </w:rPr>
      </w:pPr>
      <w:bookmarkStart w:id="7" w:name="_Hlk506207914"/>
      <w:bookmarkStart w:id="8" w:name="_Hlk506372018"/>
      <w:r w:rsidRPr="00A3286E">
        <w:rPr>
          <w:b/>
          <w:bCs/>
          <w:sz w:val="22"/>
          <w:szCs w:val="22"/>
        </w:rPr>
        <w:t xml:space="preserve">London Fire </w:t>
      </w:r>
      <w:r>
        <w:rPr>
          <w:b/>
          <w:bCs/>
          <w:sz w:val="22"/>
          <w:szCs w:val="22"/>
        </w:rPr>
        <w:t>Commissioner (LFC)</w:t>
      </w:r>
    </w:p>
    <w:bookmarkEnd w:id="7"/>
    <w:p w14:paraId="1FA66665" w14:textId="77777777" w:rsidR="00114553" w:rsidRPr="00BE2AAB" w:rsidRDefault="00114553" w:rsidP="00114553">
      <w:pPr>
        <w:pStyle w:val="BodyTextIndent"/>
        <w:spacing w:afterLines="25" w:after="60"/>
        <w:ind w:left="0"/>
        <w:rPr>
          <w:sz w:val="22"/>
          <w:szCs w:val="22"/>
        </w:rPr>
      </w:pPr>
      <w:r w:rsidRPr="00A3286E">
        <w:rPr>
          <w:sz w:val="22"/>
          <w:szCs w:val="22"/>
        </w:rPr>
        <w:t>The Mayor</w:t>
      </w:r>
      <w:r>
        <w:rPr>
          <w:sz w:val="22"/>
          <w:szCs w:val="22"/>
        </w:rPr>
        <w:t>’ funding</w:t>
      </w:r>
      <w:r w:rsidRPr="00A3286E">
        <w:rPr>
          <w:sz w:val="22"/>
          <w:szCs w:val="22"/>
        </w:rPr>
        <w:t xml:space="preserve"> ensure</w:t>
      </w:r>
      <w:r>
        <w:rPr>
          <w:sz w:val="22"/>
          <w:szCs w:val="22"/>
        </w:rPr>
        <w:t>s</w:t>
      </w:r>
      <w:r w:rsidRPr="00A3286E">
        <w:rPr>
          <w:sz w:val="22"/>
          <w:szCs w:val="22"/>
        </w:rPr>
        <w:t xml:space="preserve"> that </w:t>
      </w:r>
      <w:r>
        <w:rPr>
          <w:sz w:val="22"/>
          <w:szCs w:val="22"/>
        </w:rPr>
        <w:t>the London Fire Brigade’s first and second</w:t>
      </w:r>
      <w:r w:rsidRPr="00A3286E">
        <w:rPr>
          <w:sz w:val="22"/>
          <w:szCs w:val="22"/>
        </w:rPr>
        <w:t xml:space="preserve"> </w:t>
      </w:r>
      <w:r>
        <w:rPr>
          <w:sz w:val="22"/>
          <w:szCs w:val="22"/>
        </w:rPr>
        <w:t>fire engines attending an emergency incident arrive, on average, within six and eight minutes respectively. The Mayor is also providing resources to roll out a transformation programme so that the LFB can implement the recommendations of the Grenfell fire inquiry. This includes investing in the new vehicles and equipment required.</w:t>
      </w:r>
    </w:p>
    <w:p w14:paraId="4DB2FFAA" w14:textId="77777777" w:rsidR="00F110E7" w:rsidRDefault="00F110E7" w:rsidP="00F110E7">
      <w:pPr>
        <w:rPr>
          <w:b/>
          <w:bCs/>
          <w:sz w:val="22"/>
          <w:szCs w:val="22"/>
        </w:rPr>
      </w:pPr>
    </w:p>
    <w:p w14:paraId="670707D4" w14:textId="77777777" w:rsidR="00F110E7" w:rsidRPr="00A3286E" w:rsidRDefault="00F110E7" w:rsidP="00F110E7">
      <w:pPr>
        <w:rPr>
          <w:b/>
          <w:bCs/>
          <w:sz w:val="22"/>
          <w:szCs w:val="22"/>
        </w:rPr>
      </w:pPr>
      <w:r w:rsidRPr="00A3286E">
        <w:rPr>
          <w:b/>
          <w:bCs/>
          <w:sz w:val="22"/>
          <w:szCs w:val="22"/>
        </w:rPr>
        <w:t>London Legacy Development Corporation (LLDC)</w:t>
      </w:r>
    </w:p>
    <w:p w14:paraId="13C43F83" w14:textId="77777777" w:rsidR="00F110E7" w:rsidRPr="00A3286E" w:rsidRDefault="00F110E7" w:rsidP="00F110E7">
      <w:pPr>
        <w:rPr>
          <w:sz w:val="22"/>
          <w:szCs w:val="22"/>
        </w:rPr>
      </w:pPr>
      <w:r w:rsidRPr="00A3286E">
        <w:rPr>
          <w:sz w:val="22"/>
          <w:szCs w:val="22"/>
        </w:rPr>
        <w:t xml:space="preserve">The LLDC was set up to ensure that </w:t>
      </w:r>
      <w:r>
        <w:rPr>
          <w:sz w:val="22"/>
          <w:szCs w:val="22"/>
        </w:rPr>
        <w:t>the city</w:t>
      </w:r>
      <w:r w:rsidRPr="00A3286E">
        <w:rPr>
          <w:sz w:val="22"/>
          <w:szCs w:val="22"/>
        </w:rPr>
        <w:t xml:space="preserve"> benefits from a l</w:t>
      </w:r>
      <w:r>
        <w:rPr>
          <w:sz w:val="22"/>
          <w:szCs w:val="22"/>
        </w:rPr>
        <w:t>ong-term</w:t>
      </w:r>
      <w:r w:rsidRPr="00A3286E">
        <w:rPr>
          <w:sz w:val="22"/>
          <w:szCs w:val="22"/>
        </w:rPr>
        <w:t xml:space="preserve"> legacy from the </w:t>
      </w:r>
      <w:r>
        <w:rPr>
          <w:sz w:val="22"/>
          <w:szCs w:val="22"/>
        </w:rPr>
        <w:t xml:space="preserve">London </w:t>
      </w:r>
      <w:r w:rsidRPr="00A3286E">
        <w:rPr>
          <w:sz w:val="22"/>
          <w:szCs w:val="22"/>
        </w:rPr>
        <w:t>2012 Olympic and Pa</w:t>
      </w:r>
      <w:r>
        <w:rPr>
          <w:sz w:val="22"/>
          <w:szCs w:val="22"/>
        </w:rPr>
        <w:t>ralympic Games. The Mayor’s 2020-21</w:t>
      </w:r>
      <w:r w:rsidRPr="00A3286E">
        <w:rPr>
          <w:sz w:val="22"/>
          <w:szCs w:val="22"/>
        </w:rPr>
        <w:t xml:space="preserve"> budget provides funding for the development of a world class cultural and education district</w:t>
      </w:r>
      <w:r>
        <w:rPr>
          <w:sz w:val="22"/>
          <w:szCs w:val="22"/>
        </w:rPr>
        <w:t>, East Bank,</w:t>
      </w:r>
      <w:r w:rsidRPr="00A3286E">
        <w:rPr>
          <w:sz w:val="22"/>
          <w:szCs w:val="22"/>
        </w:rPr>
        <w:t xml:space="preserve"> in Queen Elizabeth Olympic Park. This is expected to create 3,000 new jobs, attract 1.5 million additional visitors and bring £2.8 billion of economic value to east London. </w:t>
      </w:r>
    </w:p>
    <w:p w14:paraId="6AC542DA" w14:textId="77777777" w:rsidR="00F110E7" w:rsidRPr="00A3286E" w:rsidRDefault="00F110E7" w:rsidP="00F110E7">
      <w:pPr>
        <w:pStyle w:val="BodyTextIndent"/>
        <w:spacing w:after="60"/>
        <w:rPr>
          <w:b/>
          <w:bCs/>
        </w:rPr>
      </w:pPr>
    </w:p>
    <w:p w14:paraId="2CA2A33A" w14:textId="77777777" w:rsidR="00F110E7" w:rsidRPr="00A3286E" w:rsidRDefault="00F110E7" w:rsidP="00F110E7">
      <w:pPr>
        <w:rPr>
          <w:b/>
          <w:bCs/>
          <w:sz w:val="22"/>
          <w:szCs w:val="22"/>
        </w:rPr>
      </w:pPr>
      <w:r w:rsidRPr="00A3286E">
        <w:rPr>
          <w:b/>
          <w:bCs/>
          <w:sz w:val="22"/>
          <w:szCs w:val="22"/>
        </w:rPr>
        <w:t>Old Oak and Park Royal Development Corporation (OPDC)</w:t>
      </w:r>
    </w:p>
    <w:p w14:paraId="765CAFA0" w14:textId="77777777" w:rsidR="00F110E7" w:rsidRDefault="00F110E7" w:rsidP="00F110E7">
      <w:pPr>
        <w:rPr>
          <w:sz w:val="22"/>
          <w:szCs w:val="22"/>
        </w:rPr>
      </w:pPr>
      <w:bookmarkStart w:id="9" w:name="_Hlk1477947"/>
      <w:bookmarkEnd w:id="8"/>
      <w:r>
        <w:rPr>
          <w:sz w:val="22"/>
          <w:szCs w:val="22"/>
        </w:rPr>
        <w:lastRenderedPageBreak/>
        <w:t>The OPDC has been established to support the creation of 65,000 new jobs and at least 24,000 new homes in west London over the next 20 years. It will build on the regeneration benefits which High Speed 2 (HS2), the Elizabeth line and the Great Western Mainline stations at Old Oak Common are expected to bring locally.</w:t>
      </w:r>
    </w:p>
    <w:bookmarkEnd w:id="9"/>
    <w:p w14:paraId="5CCA78DF" w14:textId="77777777" w:rsidR="00F110E7" w:rsidRDefault="00F110E7" w:rsidP="00F110E7">
      <w:pPr>
        <w:pStyle w:val="BodyTextIndent"/>
        <w:spacing w:after="60"/>
        <w:ind w:left="0"/>
        <w:rPr>
          <w:b/>
          <w:bCs/>
        </w:rPr>
      </w:pPr>
    </w:p>
    <w:p w14:paraId="5E8BE4A4" w14:textId="77777777" w:rsidR="00F110E7" w:rsidRDefault="00F110E7" w:rsidP="00F110E7">
      <w:pPr>
        <w:pStyle w:val="BodyTextIndent"/>
        <w:spacing w:after="60"/>
        <w:ind w:left="0"/>
        <w:rPr>
          <w:b/>
          <w:bCs/>
        </w:rPr>
      </w:pPr>
    </w:p>
    <w:p w14:paraId="37CF5B6B" w14:textId="77777777" w:rsidR="00F110E7" w:rsidRDefault="00F110E7" w:rsidP="00F110E7">
      <w:pPr>
        <w:pStyle w:val="BodyTextIndent"/>
        <w:spacing w:after="60"/>
        <w:ind w:left="0"/>
        <w:rPr>
          <w:b/>
          <w:bCs/>
        </w:rPr>
      </w:pPr>
    </w:p>
    <w:p w14:paraId="28F2EAAB" w14:textId="77777777" w:rsidR="00F110E7" w:rsidRDefault="00F110E7" w:rsidP="00F110E7">
      <w:pPr>
        <w:pStyle w:val="BodyTextIndent"/>
        <w:spacing w:after="60"/>
        <w:ind w:left="0"/>
        <w:rPr>
          <w:b/>
          <w:bCs/>
          <w:sz w:val="22"/>
          <w:szCs w:val="22"/>
        </w:rPr>
      </w:pPr>
    </w:p>
    <w:p w14:paraId="0A2170F3" w14:textId="77777777" w:rsidR="00F110E7" w:rsidRPr="00BF7C57" w:rsidRDefault="00F110E7" w:rsidP="00F110E7">
      <w:pPr>
        <w:pStyle w:val="BodyTextIndent"/>
        <w:spacing w:after="60"/>
        <w:ind w:left="0"/>
        <w:rPr>
          <w:b/>
          <w:bCs/>
          <w:sz w:val="22"/>
          <w:szCs w:val="22"/>
        </w:rPr>
      </w:pPr>
      <w:r w:rsidRPr="00BF7C57">
        <w:rPr>
          <w:b/>
          <w:bCs/>
          <w:sz w:val="22"/>
          <w:szCs w:val="22"/>
        </w:rPr>
        <w:t>Summary of GLA Group budget</w:t>
      </w:r>
    </w:p>
    <w:p w14:paraId="3FF6D10D" w14:textId="77777777" w:rsidR="00F110E7" w:rsidRPr="00A3286E" w:rsidRDefault="00F110E7" w:rsidP="00F110E7">
      <w:pPr>
        <w:rPr>
          <w:sz w:val="22"/>
          <w:szCs w:val="22"/>
        </w:rPr>
      </w:pPr>
      <w:bookmarkStart w:id="10" w:name="_Hlk1479511"/>
      <w:r w:rsidRPr="00A3286E">
        <w:rPr>
          <w:sz w:val="22"/>
          <w:szCs w:val="22"/>
        </w:rPr>
        <w:t xml:space="preserve">The tables below show where the GLA’s funding comes from and the reasons for the year on year </w:t>
      </w:r>
      <w:r>
        <w:rPr>
          <w:sz w:val="22"/>
          <w:szCs w:val="22"/>
        </w:rPr>
        <w:t>change in the budget</w:t>
      </w:r>
      <w:r w:rsidRPr="00A3286E">
        <w:rPr>
          <w:sz w:val="22"/>
          <w:szCs w:val="22"/>
        </w:rPr>
        <w:t xml:space="preserve">. </w:t>
      </w:r>
      <w:bookmarkEnd w:id="10"/>
      <w:r w:rsidRPr="00A3286E">
        <w:rPr>
          <w:sz w:val="22"/>
          <w:szCs w:val="22"/>
        </w:rPr>
        <w:t>It also explains how the GLA has calculated the sum to be collected from council tax (the council tax requirement).</w:t>
      </w:r>
    </w:p>
    <w:p w14:paraId="7ABEB117" w14:textId="77777777" w:rsidR="00F110E7" w:rsidRDefault="00F110E7" w:rsidP="00F110E7">
      <w:pPr>
        <w:pStyle w:val="BodyTextIndent"/>
        <w:rPr>
          <w:bCs/>
        </w:rPr>
      </w:pPr>
    </w:p>
    <w:tbl>
      <w:tblPr>
        <w:tblW w:w="5380" w:type="dxa"/>
        <w:tblInd w:w="93" w:type="dxa"/>
        <w:tblLook w:val="04A0" w:firstRow="1" w:lastRow="0" w:firstColumn="1" w:lastColumn="0" w:noHBand="0" w:noVBand="1"/>
      </w:tblPr>
      <w:tblGrid>
        <w:gridCol w:w="4200"/>
        <w:gridCol w:w="1180"/>
      </w:tblGrid>
      <w:tr w:rsidR="00F110E7" w14:paraId="0DFA21F6" w14:textId="77777777" w:rsidTr="0033392E">
        <w:trPr>
          <w:trHeight w:val="288"/>
        </w:trPr>
        <w:tc>
          <w:tcPr>
            <w:tcW w:w="4200" w:type="dxa"/>
            <w:tcBorders>
              <w:top w:val="single" w:sz="8" w:space="0" w:color="A5A6A5"/>
              <w:left w:val="single" w:sz="8" w:space="0" w:color="FFFFFF"/>
              <w:bottom w:val="nil"/>
              <w:right w:val="nil"/>
            </w:tcBorders>
            <w:shd w:val="clear" w:color="000000" w:fill="FFFFFF"/>
            <w:noWrap/>
            <w:vAlign w:val="center"/>
            <w:hideMark/>
          </w:tcPr>
          <w:p w14:paraId="009CC99A" w14:textId="77777777" w:rsidR="00F110E7" w:rsidRDefault="00F110E7" w:rsidP="0033392E">
            <w:pPr>
              <w:rPr>
                <w:b/>
                <w:bCs/>
                <w:color w:val="313231"/>
                <w:sz w:val="22"/>
                <w:szCs w:val="22"/>
              </w:rPr>
            </w:pPr>
            <w:r w:rsidRPr="00494F36">
              <w:rPr>
                <w:b/>
                <w:bCs/>
                <w:color w:val="313231"/>
                <w:sz w:val="22"/>
                <w:szCs w:val="22"/>
              </w:rPr>
              <w:t>How the GLA</w:t>
            </w:r>
            <w:r w:rsidR="000409F0">
              <w:rPr>
                <w:b/>
                <w:bCs/>
                <w:color w:val="313231"/>
                <w:sz w:val="22"/>
                <w:szCs w:val="22"/>
              </w:rPr>
              <w:t>’s</w:t>
            </w:r>
            <w:r w:rsidRPr="00494F36">
              <w:rPr>
                <w:b/>
                <w:bCs/>
                <w:color w:val="313231"/>
                <w:sz w:val="22"/>
                <w:szCs w:val="22"/>
              </w:rPr>
              <w:t xml:space="preserve"> budget is funded </w:t>
            </w:r>
          </w:p>
          <w:p w14:paraId="19EED15E" w14:textId="77777777" w:rsidR="00F110E7" w:rsidRPr="00494F36" w:rsidRDefault="00F110E7" w:rsidP="0033392E">
            <w:pPr>
              <w:rPr>
                <w:b/>
                <w:bCs/>
                <w:color w:val="313231"/>
                <w:sz w:val="22"/>
                <w:szCs w:val="22"/>
              </w:rPr>
            </w:pPr>
            <w:r w:rsidRPr="00494F36">
              <w:rPr>
                <w:b/>
                <w:bCs/>
                <w:color w:val="313231"/>
                <w:sz w:val="22"/>
                <w:szCs w:val="22"/>
              </w:rPr>
              <w:t>(£ million)</w:t>
            </w:r>
          </w:p>
        </w:tc>
        <w:tc>
          <w:tcPr>
            <w:tcW w:w="1180" w:type="dxa"/>
            <w:tcBorders>
              <w:top w:val="single" w:sz="8" w:space="0" w:color="A5A6A5"/>
              <w:left w:val="nil"/>
              <w:bottom w:val="nil"/>
              <w:right w:val="nil"/>
            </w:tcBorders>
            <w:shd w:val="clear" w:color="000000" w:fill="D9D9D9"/>
            <w:noWrap/>
            <w:hideMark/>
          </w:tcPr>
          <w:p w14:paraId="79E2D45E" w14:textId="77777777" w:rsidR="00F110E7" w:rsidRPr="00494F36" w:rsidRDefault="00F110E7" w:rsidP="0033392E">
            <w:pPr>
              <w:jc w:val="right"/>
              <w:rPr>
                <w:b/>
                <w:bCs/>
                <w:color w:val="313231"/>
                <w:sz w:val="22"/>
                <w:szCs w:val="22"/>
              </w:rPr>
            </w:pPr>
            <w:r>
              <w:rPr>
                <w:b/>
                <w:bCs/>
                <w:color w:val="313231"/>
                <w:sz w:val="22"/>
                <w:szCs w:val="22"/>
              </w:rPr>
              <w:t>2020-21</w:t>
            </w:r>
          </w:p>
        </w:tc>
      </w:tr>
      <w:tr w:rsidR="00F110E7" w14:paraId="24FF7AC7" w14:textId="77777777" w:rsidTr="0033392E">
        <w:trPr>
          <w:trHeight w:val="315"/>
        </w:trPr>
        <w:tc>
          <w:tcPr>
            <w:tcW w:w="4200" w:type="dxa"/>
            <w:tcBorders>
              <w:top w:val="nil"/>
              <w:left w:val="single" w:sz="8" w:space="0" w:color="FFFFFF"/>
              <w:bottom w:val="single" w:sz="8" w:space="0" w:color="A5A6A5"/>
              <w:right w:val="nil"/>
            </w:tcBorders>
            <w:shd w:val="clear" w:color="000000" w:fill="FFFFFF"/>
            <w:noWrap/>
            <w:vAlign w:val="center"/>
            <w:hideMark/>
          </w:tcPr>
          <w:p w14:paraId="4FF5835A" w14:textId="77777777" w:rsidR="00F110E7" w:rsidRDefault="00F110E7" w:rsidP="0033392E">
            <w:pPr>
              <w:rPr>
                <w:b/>
                <w:bCs/>
                <w:color w:val="313231"/>
                <w:sz w:val="20"/>
                <w:szCs w:val="20"/>
              </w:rPr>
            </w:pPr>
            <w:r>
              <w:rPr>
                <w:b/>
                <w:bCs/>
                <w:color w:val="313231"/>
                <w:sz w:val="20"/>
                <w:szCs w:val="20"/>
              </w:rPr>
              <w:t> </w:t>
            </w:r>
          </w:p>
        </w:tc>
        <w:tc>
          <w:tcPr>
            <w:tcW w:w="1180" w:type="dxa"/>
            <w:tcBorders>
              <w:top w:val="nil"/>
              <w:left w:val="nil"/>
              <w:bottom w:val="single" w:sz="8" w:space="0" w:color="A5A6A5"/>
              <w:right w:val="nil"/>
            </w:tcBorders>
            <w:shd w:val="clear" w:color="000000" w:fill="D9D9D9"/>
            <w:noWrap/>
            <w:vAlign w:val="center"/>
            <w:hideMark/>
          </w:tcPr>
          <w:p w14:paraId="18BCFB40" w14:textId="77777777" w:rsidR="00F110E7" w:rsidRDefault="00F110E7" w:rsidP="0033392E">
            <w:pPr>
              <w:jc w:val="right"/>
              <w:rPr>
                <w:b/>
                <w:bCs/>
                <w:color w:val="313231"/>
                <w:sz w:val="20"/>
                <w:szCs w:val="20"/>
              </w:rPr>
            </w:pPr>
            <w:r>
              <w:rPr>
                <w:b/>
                <w:bCs/>
                <w:color w:val="313231"/>
                <w:sz w:val="20"/>
                <w:szCs w:val="20"/>
              </w:rPr>
              <w:t> </w:t>
            </w:r>
          </w:p>
        </w:tc>
      </w:tr>
      <w:tr w:rsidR="00F110E7" w:rsidRPr="00842B3D" w14:paraId="60BE4F25" w14:textId="77777777" w:rsidTr="009D1DBB">
        <w:trPr>
          <w:trHeight w:val="315"/>
        </w:trPr>
        <w:tc>
          <w:tcPr>
            <w:tcW w:w="4200" w:type="dxa"/>
            <w:tcBorders>
              <w:top w:val="nil"/>
              <w:left w:val="single" w:sz="8" w:space="0" w:color="FFFFFF"/>
              <w:bottom w:val="nil"/>
              <w:right w:val="nil"/>
            </w:tcBorders>
            <w:shd w:val="clear" w:color="auto" w:fill="auto"/>
            <w:hideMark/>
          </w:tcPr>
          <w:p w14:paraId="7815E46E" w14:textId="77777777" w:rsidR="00F110E7" w:rsidRPr="00842B3D" w:rsidRDefault="00F110E7" w:rsidP="009D1DBB">
            <w:pPr>
              <w:rPr>
                <w:color w:val="313231"/>
                <w:sz w:val="22"/>
                <w:szCs w:val="22"/>
              </w:rPr>
            </w:pPr>
            <w:r w:rsidRPr="00842B3D">
              <w:rPr>
                <w:color w:val="313231"/>
                <w:sz w:val="22"/>
                <w:szCs w:val="22"/>
              </w:rPr>
              <w:t xml:space="preserve">Gross expenditure </w:t>
            </w:r>
          </w:p>
        </w:tc>
        <w:tc>
          <w:tcPr>
            <w:tcW w:w="1180" w:type="dxa"/>
            <w:tcBorders>
              <w:top w:val="nil"/>
              <w:left w:val="nil"/>
              <w:bottom w:val="nil"/>
              <w:right w:val="nil"/>
            </w:tcBorders>
            <w:shd w:val="clear" w:color="000000" w:fill="D9D9D9"/>
          </w:tcPr>
          <w:p w14:paraId="7AE93C61" w14:textId="77777777" w:rsidR="00F110E7" w:rsidRPr="0075347D" w:rsidRDefault="00F110E7" w:rsidP="009D1DBB">
            <w:pPr>
              <w:jc w:val="right"/>
              <w:rPr>
                <w:bCs/>
                <w:color w:val="313231"/>
                <w:sz w:val="22"/>
                <w:szCs w:val="22"/>
              </w:rPr>
            </w:pPr>
            <w:r w:rsidRPr="0075347D">
              <w:rPr>
                <w:bCs/>
                <w:color w:val="313231"/>
                <w:sz w:val="22"/>
                <w:szCs w:val="22"/>
              </w:rPr>
              <w:t>13,365.9</w:t>
            </w:r>
          </w:p>
        </w:tc>
      </w:tr>
      <w:tr w:rsidR="00F110E7" w:rsidRPr="00842B3D" w14:paraId="7E0447D0" w14:textId="77777777" w:rsidTr="009D1DBB">
        <w:trPr>
          <w:trHeight w:val="315"/>
        </w:trPr>
        <w:tc>
          <w:tcPr>
            <w:tcW w:w="4200" w:type="dxa"/>
            <w:tcBorders>
              <w:top w:val="nil"/>
              <w:left w:val="single" w:sz="8" w:space="0" w:color="FFFFFF"/>
              <w:bottom w:val="nil"/>
              <w:right w:val="nil"/>
            </w:tcBorders>
            <w:shd w:val="clear" w:color="auto" w:fill="auto"/>
            <w:hideMark/>
          </w:tcPr>
          <w:p w14:paraId="7FEF2CA8" w14:textId="77777777" w:rsidR="00F110E7" w:rsidRPr="00842B3D" w:rsidRDefault="00F110E7" w:rsidP="009D1DBB">
            <w:pPr>
              <w:rPr>
                <w:color w:val="313231"/>
                <w:sz w:val="22"/>
                <w:szCs w:val="22"/>
              </w:rPr>
            </w:pPr>
            <w:r w:rsidRPr="00842B3D">
              <w:rPr>
                <w:color w:val="313231"/>
                <w:sz w:val="22"/>
                <w:szCs w:val="22"/>
              </w:rPr>
              <w:t>Government grants and retained business rates</w:t>
            </w:r>
          </w:p>
        </w:tc>
        <w:tc>
          <w:tcPr>
            <w:tcW w:w="1180" w:type="dxa"/>
            <w:tcBorders>
              <w:top w:val="nil"/>
              <w:left w:val="nil"/>
              <w:bottom w:val="nil"/>
              <w:right w:val="nil"/>
            </w:tcBorders>
            <w:shd w:val="clear" w:color="000000" w:fill="D9D9D9"/>
          </w:tcPr>
          <w:p w14:paraId="159130A8" w14:textId="77777777" w:rsidR="00F110E7" w:rsidRPr="00F737E1" w:rsidRDefault="00F110E7" w:rsidP="009D1DBB">
            <w:pPr>
              <w:jc w:val="right"/>
              <w:rPr>
                <w:bCs/>
                <w:color w:val="313231"/>
                <w:sz w:val="22"/>
                <w:szCs w:val="22"/>
              </w:rPr>
            </w:pPr>
            <w:r w:rsidRPr="00F737E1">
              <w:rPr>
                <w:bCs/>
                <w:color w:val="313231"/>
                <w:sz w:val="22"/>
                <w:szCs w:val="22"/>
              </w:rPr>
              <w:t>-5,486.6</w:t>
            </w:r>
          </w:p>
        </w:tc>
      </w:tr>
      <w:tr w:rsidR="00F110E7" w:rsidRPr="00842B3D" w14:paraId="1FBFC65D" w14:textId="77777777" w:rsidTr="009D1DBB">
        <w:trPr>
          <w:trHeight w:val="315"/>
        </w:trPr>
        <w:tc>
          <w:tcPr>
            <w:tcW w:w="4200" w:type="dxa"/>
            <w:tcBorders>
              <w:top w:val="nil"/>
              <w:left w:val="single" w:sz="8" w:space="0" w:color="FFFFFF"/>
              <w:bottom w:val="nil"/>
              <w:right w:val="nil"/>
            </w:tcBorders>
            <w:shd w:val="clear" w:color="auto" w:fill="auto"/>
            <w:hideMark/>
          </w:tcPr>
          <w:p w14:paraId="0543EBE7" w14:textId="77777777" w:rsidR="00F110E7" w:rsidRPr="00842B3D" w:rsidRDefault="00F110E7" w:rsidP="009D1DBB">
            <w:pPr>
              <w:rPr>
                <w:color w:val="313231"/>
                <w:sz w:val="22"/>
                <w:szCs w:val="22"/>
              </w:rPr>
            </w:pPr>
            <w:r w:rsidRPr="00842B3D">
              <w:rPr>
                <w:color w:val="313231"/>
                <w:sz w:val="22"/>
                <w:szCs w:val="22"/>
              </w:rPr>
              <w:t>Fares, charges and other income</w:t>
            </w:r>
          </w:p>
        </w:tc>
        <w:tc>
          <w:tcPr>
            <w:tcW w:w="1180" w:type="dxa"/>
            <w:tcBorders>
              <w:top w:val="nil"/>
              <w:left w:val="nil"/>
              <w:bottom w:val="nil"/>
              <w:right w:val="nil"/>
            </w:tcBorders>
            <w:shd w:val="clear" w:color="000000" w:fill="D9D9D9"/>
          </w:tcPr>
          <w:p w14:paraId="19BDC1C8" w14:textId="77777777" w:rsidR="00F110E7" w:rsidRPr="00F737E1" w:rsidRDefault="00F110E7" w:rsidP="009D1DBB">
            <w:pPr>
              <w:jc w:val="right"/>
              <w:rPr>
                <w:bCs/>
                <w:color w:val="313231"/>
                <w:sz w:val="22"/>
                <w:szCs w:val="22"/>
              </w:rPr>
            </w:pPr>
            <w:r w:rsidRPr="00F737E1">
              <w:rPr>
                <w:bCs/>
                <w:color w:val="313231"/>
                <w:sz w:val="22"/>
                <w:szCs w:val="22"/>
              </w:rPr>
              <w:t>-6,787.3</w:t>
            </w:r>
          </w:p>
        </w:tc>
      </w:tr>
      <w:tr w:rsidR="00F110E7" w:rsidRPr="00842B3D" w14:paraId="2F0D21C3" w14:textId="77777777" w:rsidTr="009D1DBB">
        <w:trPr>
          <w:trHeight w:val="315"/>
        </w:trPr>
        <w:tc>
          <w:tcPr>
            <w:tcW w:w="4200" w:type="dxa"/>
            <w:tcBorders>
              <w:top w:val="nil"/>
              <w:left w:val="single" w:sz="8" w:space="0" w:color="FFFFFF"/>
              <w:bottom w:val="single" w:sz="8" w:space="0" w:color="A5A6A5"/>
              <w:right w:val="nil"/>
            </w:tcBorders>
            <w:shd w:val="clear" w:color="auto" w:fill="auto"/>
            <w:hideMark/>
          </w:tcPr>
          <w:p w14:paraId="1B2993D0" w14:textId="77777777" w:rsidR="00F110E7" w:rsidRPr="00842B3D" w:rsidRDefault="00F110E7" w:rsidP="009D1DBB">
            <w:pPr>
              <w:rPr>
                <w:color w:val="313231"/>
                <w:sz w:val="22"/>
                <w:szCs w:val="22"/>
              </w:rPr>
            </w:pPr>
            <w:r w:rsidRPr="00842B3D">
              <w:rPr>
                <w:color w:val="313231"/>
                <w:sz w:val="22"/>
                <w:szCs w:val="22"/>
              </w:rPr>
              <w:t xml:space="preserve">Use of reserves </w:t>
            </w:r>
          </w:p>
        </w:tc>
        <w:tc>
          <w:tcPr>
            <w:tcW w:w="1180" w:type="dxa"/>
            <w:tcBorders>
              <w:top w:val="nil"/>
              <w:left w:val="nil"/>
              <w:bottom w:val="single" w:sz="8" w:space="0" w:color="A5A6A5"/>
              <w:right w:val="nil"/>
            </w:tcBorders>
            <w:shd w:val="clear" w:color="000000" w:fill="D9D9D9"/>
          </w:tcPr>
          <w:p w14:paraId="2518449E" w14:textId="77777777" w:rsidR="00F110E7" w:rsidRPr="0075347D" w:rsidRDefault="00F110E7" w:rsidP="009D1DBB">
            <w:pPr>
              <w:jc w:val="right"/>
              <w:rPr>
                <w:bCs/>
                <w:color w:val="313231"/>
                <w:sz w:val="22"/>
                <w:szCs w:val="22"/>
              </w:rPr>
            </w:pPr>
            <w:r w:rsidRPr="0075347D">
              <w:rPr>
                <w:bCs/>
                <w:color w:val="313231"/>
                <w:sz w:val="22"/>
                <w:szCs w:val="22"/>
              </w:rPr>
              <w:t>-81.1</w:t>
            </w:r>
          </w:p>
        </w:tc>
      </w:tr>
      <w:tr w:rsidR="00F110E7" w:rsidRPr="00842B3D" w14:paraId="65A386D9" w14:textId="77777777" w:rsidTr="0033392E">
        <w:trPr>
          <w:trHeight w:val="315"/>
        </w:trPr>
        <w:tc>
          <w:tcPr>
            <w:tcW w:w="4200" w:type="dxa"/>
            <w:tcBorders>
              <w:top w:val="nil"/>
              <w:left w:val="single" w:sz="8" w:space="0" w:color="FFFFFF"/>
              <w:bottom w:val="single" w:sz="8" w:space="0" w:color="A5A6A5"/>
              <w:right w:val="nil"/>
            </w:tcBorders>
            <w:shd w:val="clear" w:color="000000" w:fill="FFFFFF"/>
            <w:vAlign w:val="center"/>
            <w:hideMark/>
          </w:tcPr>
          <w:p w14:paraId="25D510CE" w14:textId="77777777" w:rsidR="00F110E7" w:rsidRPr="00842B3D" w:rsidRDefault="00F110E7" w:rsidP="0033392E">
            <w:pPr>
              <w:rPr>
                <w:b/>
                <w:bCs/>
                <w:color w:val="313231"/>
                <w:sz w:val="22"/>
                <w:szCs w:val="22"/>
              </w:rPr>
            </w:pPr>
            <w:r w:rsidRPr="00842B3D">
              <w:rPr>
                <w:b/>
                <w:bCs/>
                <w:color w:val="313231"/>
                <w:sz w:val="22"/>
                <w:szCs w:val="22"/>
              </w:rPr>
              <w:t>Amount met by council taxpayers (£m)</w:t>
            </w:r>
          </w:p>
        </w:tc>
        <w:tc>
          <w:tcPr>
            <w:tcW w:w="1180" w:type="dxa"/>
            <w:tcBorders>
              <w:top w:val="nil"/>
              <w:left w:val="nil"/>
              <w:bottom w:val="single" w:sz="8" w:space="0" w:color="A5A6A5"/>
              <w:right w:val="nil"/>
            </w:tcBorders>
            <w:shd w:val="clear" w:color="000000" w:fill="D9D9D9"/>
            <w:vAlign w:val="center"/>
          </w:tcPr>
          <w:p w14:paraId="79F275F1" w14:textId="77777777" w:rsidR="00F110E7" w:rsidRPr="00842B3D" w:rsidRDefault="00F110E7" w:rsidP="0033392E">
            <w:pPr>
              <w:jc w:val="right"/>
              <w:rPr>
                <w:b/>
                <w:bCs/>
                <w:color w:val="313231"/>
                <w:sz w:val="22"/>
                <w:szCs w:val="22"/>
              </w:rPr>
            </w:pPr>
            <w:r>
              <w:rPr>
                <w:b/>
                <w:bCs/>
                <w:color w:val="313231"/>
                <w:sz w:val="22"/>
                <w:szCs w:val="22"/>
              </w:rPr>
              <w:t>1,010.9</w:t>
            </w:r>
          </w:p>
        </w:tc>
      </w:tr>
    </w:tbl>
    <w:p w14:paraId="4D792D0A" w14:textId="77777777" w:rsidR="00F110E7" w:rsidRPr="00842B3D" w:rsidRDefault="00F110E7" w:rsidP="00F110E7">
      <w:pPr>
        <w:pStyle w:val="BodyTextIndent"/>
        <w:rPr>
          <w:bCs/>
          <w:sz w:val="22"/>
          <w:szCs w:val="22"/>
        </w:rPr>
      </w:pPr>
    </w:p>
    <w:tbl>
      <w:tblPr>
        <w:tblW w:w="5380" w:type="dxa"/>
        <w:tblInd w:w="93" w:type="dxa"/>
        <w:tblLook w:val="04A0" w:firstRow="1" w:lastRow="0" w:firstColumn="1" w:lastColumn="0" w:noHBand="0" w:noVBand="1"/>
      </w:tblPr>
      <w:tblGrid>
        <w:gridCol w:w="4200"/>
        <w:gridCol w:w="1180"/>
      </w:tblGrid>
      <w:tr w:rsidR="00F110E7" w:rsidRPr="00842B3D" w14:paraId="7DFC328D" w14:textId="77777777" w:rsidTr="0033392E">
        <w:trPr>
          <w:trHeight w:val="300"/>
        </w:trPr>
        <w:tc>
          <w:tcPr>
            <w:tcW w:w="4200" w:type="dxa"/>
            <w:tcBorders>
              <w:top w:val="nil"/>
              <w:left w:val="nil"/>
              <w:bottom w:val="nil"/>
              <w:right w:val="nil"/>
            </w:tcBorders>
            <w:shd w:val="clear" w:color="auto" w:fill="auto"/>
            <w:noWrap/>
            <w:vAlign w:val="bottom"/>
            <w:hideMark/>
          </w:tcPr>
          <w:p w14:paraId="3CC1BC4A" w14:textId="77777777" w:rsidR="00F110E7" w:rsidRPr="00842B3D" w:rsidRDefault="00F110E7" w:rsidP="0033392E">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hideMark/>
          </w:tcPr>
          <w:p w14:paraId="6F612CAF" w14:textId="77777777" w:rsidR="00F110E7" w:rsidRPr="00842B3D" w:rsidRDefault="00F110E7" w:rsidP="0033392E">
            <w:pPr>
              <w:rPr>
                <w:rFonts w:ascii="Calibri" w:hAnsi="Calibri"/>
                <w:color w:val="000000"/>
                <w:sz w:val="22"/>
                <w:szCs w:val="22"/>
              </w:rPr>
            </w:pPr>
          </w:p>
        </w:tc>
      </w:tr>
      <w:tr w:rsidR="00F110E7" w:rsidRPr="00842B3D" w14:paraId="6F5427A3" w14:textId="77777777" w:rsidTr="0033392E">
        <w:trPr>
          <w:trHeight w:val="300"/>
        </w:trPr>
        <w:tc>
          <w:tcPr>
            <w:tcW w:w="4200" w:type="dxa"/>
            <w:tcBorders>
              <w:top w:val="single" w:sz="8" w:space="0" w:color="A5A6A5"/>
              <w:left w:val="single" w:sz="8" w:space="0" w:color="FFFFFF"/>
              <w:bottom w:val="nil"/>
              <w:right w:val="nil"/>
            </w:tcBorders>
            <w:shd w:val="clear" w:color="000000" w:fill="FFFFFF"/>
            <w:noWrap/>
            <w:vAlign w:val="center"/>
            <w:hideMark/>
          </w:tcPr>
          <w:p w14:paraId="4F2C4A86" w14:textId="77777777" w:rsidR="00F110E7" w:rsidRPr="00842B3D" w:rsidRDefault="00F110E7" w:rsidP="0033392E">
            <w:pPr>
              <w:rPr>
                <w:b/>
                <w:bCs/>
                <w:color w:val="313231"/>
                <w:sz w:val="22"/>
                <w:szCs w:val="22"/>
              </w:rPr>
            </w:pPr>
            <w:r w:rsidRPr="00842B3D">
              <w:rPr>
                <w:b/>
                <w:bCs/>
                <w:color w:val="313231"/>
                <w:sz w:val="22"/>
                <w:szCs w:val="22"/>
              </w:rPr>
              <w:t>Changes in spending (£ million)</w:t>
            </w:r>
          </w:p>
        </w:tc>
        <w:tc>
          <w:tcPr>
            <w:tcW w:w="1180" w:type="dxa"/>
            <w:tcBorders>
              <w:top w:val="single" w:sz="8" w:space="0" w:color="A5A6A5"/>
              <w:left w:val="nil"/>
              <w:bottom w:val="nil"/>
              <w:right w:val="nil"/>
            </w:tcBorders>
            <w:shd w:val="clear" w:color="000000" w:fill="D9D9D9"/>
            <w:noWrap/>
            <w:vAlign w:val="center"/>
            <w:hideMark/>
          </w:tcPr>
          <w:p w14:paraId="7133E7E5" w14:textId="77777777" w:rsidR="00F110E7" w:rsidRPr="00842B3D" w:rsidRDefault="00F110E7" w:rsidP="0033392E">
            <w:pPr>
              <w:jc w:val="right"/>
              <w:rPr>
                <w:b/>
                <w:bCs/>
                <w:color w:val="313231"/>
                <w:sz w:val="22"/>
                <w:szCs w:val="22"/>
              </w:rPr>
            </w:pPr>
            <w:r>
              <w:rPr>
                <w:b/>
                <w:bCs/>
                <w:color w:val="313231"/>
                <w:sz w:val="22"/>
                <w:szCs w:val="22"/>
              </w:rPr>
              <w:t>2020-21</w:t>
            </w:r>
          </w:p>
        </w:tc>
      </w:tr>
      <w:tr w:rsidR="00F110E7" w:rsidRPr="00842B3D" w14:paraId="203D3D10" w14:textId="77777777" w:rsidTr="0033392E">
        <w:trPr>
          <w:trHeight w:val="315"/>
        </w:trPr>
        <w:tc>
          <w:tcPr>
            <w:tcW w:w="4200" w:type="dxa"/>
            <w:tcBorders>
              <w:top w:val="nil"/>
              <w:left w:val="single" w:sz="8" w:space="0" w:color="FFFFFF"/>
              <w:bottom w:val="single" w:sz="8" w:space="0" w:color="A5A6A5"/>
              <w:right w:val="nil"/>
            </w:tcBorders>
            <w:shd w:val="clear" w:color="000000" w:fill="FFFFFF"/>
            <w:noWrap/>
            <w:vAlign w:val="center"/>
            <w:hideMark/>
          </w:tcPr>
          <w:p w14:paraId="0A818457" w14:textId="77777777" w:rsidR="00F110E7" w:rsidRPr="00842B3D" w:rsidRDefault="00F110E7" w:rsidP="0033392E">
            <w:pPr>
              <w:rPr>
                <w:b/>
                <w:bCs/>
                <w:color w:val="313231"/>
                <w:sz w:val="22"/>
                <w:szCs w:val="22"/>
              </w:rPr>
            </w:pPr>
            <w:r w:rsidRPr="00842B3D">
              <w:rPr>
                <w:b/>
                <w:bCs/>
                <w:color w:val="313231"/>
                <w:sz w:val="22"/>
                <w:szCs w:val="22"/>
              </w:rPr>
              <w:t> </w:t>
            </w:r>
          </w:p>
        </w:tc>
        <w:tc>
          <w:tcPr>
            <w:tcW w:w="1180" w:type="dxa"/>
            <w:tcBorders>
              <w:top w:val="nil"/>
              <w:left w:val="nil"/>
              <w:bottom w:val="single" w:sz="8" w:space="0" w:color="A5A6A5"/>
              <w:right w:val="nil"/>
            </w:tcBorders>
            <w:shd w:val="clear" w:color="000000" w:fill="D9D9D9"/>
            <w:noWrap/>
            <w:vAlign w:val="center"/>
            <w:hideMark/>
          </w:tcPr>
          <w:p w14:paraId="25BEB547" w14:textId="77777777" w:rsidR="00F110E7" w:rsidRPr="00842B3D" w:rsidRDefault="00F110E7" w:rsidP="0033392E">
            <w:pPr>
              <w:jc w:val="right"/>
              <w:rPr>
                <w:b/>
                <w:bCs/>
                <w:color w:val="313231"/>
                <w:sz w:val="22"/>
                <w:szCs w:val="22"/>
              </w:rPr>
            </w:pPr>
            <w:r w:rsidRPr="00842B3D">
              <w:rPr>
                <w:b/>
                <w:bCs/>
                <w:color w:val="313231"/>
                <w:sz w:val="22"/>
                <w:szCs w:val="22"/>
              </w:rPr>
              <w:t> </w:t>
            </w:r>
          </w:p>
        </w:tc>
      </w:tr>
      <w:tr w:rsidR="00F110E7" w:rsidRPr="00842B3D" w14:paraId="42917082" w14:textId="77777777" w:rsidTr="009D1DBB">
        <w:trPr>
          <w:trHeight w:val="300"/>
        </w:trPr>
        <w:tc>
          <w:tcPr>
            <w:tcW w:w="4200" w:type="dxa"/>
            <w:tcBorders>
              <w:top w:val="nil"/>
              <w:left w:val="single" w:sz="8" w:space="0" w:color="FFFFFF"/>
              <w:bottom w:val="nil"/>
              <w:right w:val="nil"/>
            </w:tcBorders>
            <w:shd w:val="clear" w:color="auto" w:fill="auto"/>
            <w:hideMark/>
          </w:tcPr>
          <w:p w14:paraId="685C413D" w14:textId="77777777" w:rsidR="00F110E7" w:rsidRPr="00842B3D" w:rsidRDefault="00F110E7" w:rsidP="0033392E">
            <w:pPr>
              <w:rPr>
                <w:color w:val="313231"/>
                <w:sz w:val="22"/>
                <w:szCs w:val="22"/>
              </w:rPr>
            </w:pPr>
            <w:r>
              <w:rPr>
                <w:color w:val="313231"/>
                <w:sz w:val="22"/>
                <w:szCs w:val="22"/>
              </w:rPr>
              <w:t>2019-20</w:t>
            </w:r>
            <w:r w:rsidRPr="00842B3D">
              <w:rPr>
                <w:color w:val="313231"/>
                <w:sz w:val="22"/>
                <w:szCs w:val="22"/>
              </w:rPr>
              <w:t xml:space="preserve"> council tax requirement</w:t>
            </w:r>
          </w:p>
        </w:tc>
        <w:tc>
          <w:tcPr>
            <w:tcW w:w="1180" w:type="dxa"/>
            <w:tcBorders>
              <w:top w:val="nil"/>
              <w:left w:val="nil"/>
              <w:bottom w:val="nil"/>
              <w:right w:val="nil"/>
            </w:tcBorders>
            <w:shd w:val="clear" w:color="000000" w:fill="D9D9D9"/>
            <w:hideMark/>
          </w:tcPr>
          <w:p w14:paraId="363FA45E" w14:textId="77777777" w:rsidR="00F110E7" w:rsidRPr="003758CA" w:rsidRDefault="00F110E7" w:rsidP="009D1DBB">
            <w:pPr>
              <w:jc w:val="right"/>
              <w:rPr>
                <w:color w:val="313231"/>
                <w:sz w:val="22"/>
                <w:szCs w:val="22"/>
                <w:lang w:eastAsia="en-GB"/>
              </w:rPr>
            </w:pPr>
            <w:r>
              <w:rPr>
                <w:bCs/>
                <w:color w:val="313231"/>
                <w:sz w:val="22"/>
                <w:szCs w:val="22"/>
              </w:rPr>
              <w:t>960.6</w:t>
            </w:r>
          </w:p>
        </w:tc>
      </w:tr>
      <w:tr w:rsidR="00F110E7" w:rsidRPr="00842B3D" w14:paraId="1E2802D3" w14:textId="77777777" w:rsidTr="009D1DBB">
        <w:trPr>
          <w:trHeight w:val="300"/>
        </w:trPr>
        <w:tc>
          <w:tcPr>
            <w:tcW w:w="4200" w:type="dxa"/>
            <w:tcBorders>
              <w:top w:val="nil"/>
              <w:left w:val="single" w:sz="8" w:space="0" w:color="FFFFFF"/>
              <w:bottom w:val="nil"/>
              <w:right w:val="nil"/>
            </w:tcBorders>
            <w:shd w:val="clear" w:color="auto" w:fill="auto"/>
            <w:hideMark/>
          </w:tcPr>
          <w:p w14:paraId="6095F434" w14:textId="77777777" w:rsidR="00F110E7" w:rsidRPr="00842B3D" w:rsidRDefault="00F110E7" w:rsidP="0033392E">
            <w:pPr>
              <w:rPr>
                <w:color w:val="313231"/>
                <w:sz w:val="22"/>
                <w:szCs w:val="22"/>
              </w:rPr>
            </w:pPr>
            <w:r w:rsidRPr="00842B3D">
              <w:rPr>
                <w:color w:val="313231"/>
                <w:sz w:val="22"/>
                <w:szCs w:val="22"/>
              </w:rPr>
              <w:t>Inflation</w:t>
            </w:r>
          </w:p>
        </w:tc>
        <w:tc>
          <w:tcPr>
            <w:tcW w:w="1180" w:type="dxa"/>
            <w:tcBorders>
              <w:top w:val="nil"/>
              <w:left w:val="nil"/>
              <w:bottom w:val="nil"/>
              <w:right w:val="nil"/>
            </w:tcBorders>
            <w:shd w:val="clear" w:color="000000" w:fill="D9D9D9"/>
          </w:tcPr>
          <w:p w14:paraId="73C66BF1" w14:textId="77777777" w:rsidR="00F110E7" w:rsidRPr="0075347D" w:rsidRDefault="00F110E7" w:rsidP="009D1DBB">
            <w:pPr>
              <w:jc w:val="right"/>
              <w:rPr>
                <w:color w:val="313231"/>
                <w:sz w:val="22"/>
                <w:szCs w:val="22"/>
              </w:rPr>
            </w:pPr>
            <w:r w:rsidRPr="0075347D">
              <w:rPr>
                <w:color w:val="313231"/>
                <w:sz w:val="22"/>
                <w:szCs w:val="22"/>
              </w:rPr>
              <w:t>244.8</w:t>
            </w:r>
          </w:p>
        </w:tc>
      </w:tr>
      <w:tr w:rsidR="00F110E7" w:rsidRPr="00842B3D" w14:paraId="14A453CC" w14:textId="77777777" w:rsidTr="009D1DBB">
        <w:trPr>
          <w:trHeight w:val="300"/>
        </w:trPr>
        <w:tc>
          <w:tcPr>
            <w:tcW w:w="4200" w:type="dxa"/>
            <w:tcBorders>
              <w:top w:val="nil"/>
              <w:left w:val="single" w:sz="8" w:space="0" w:color="FFFFFF"/>
              <w:bottom w:val="nil"/>
              <w:right w:val="nil"/>
            </w:tcBorders>
            <w:shd w:val="clear" w:color="auto" w:fill="auto"/>
            <w:hideMark/>
          </w:tcPr>
          <w:p w14:paraId="00011F50" w14:textId="77777777" w:rsidR="00F110E7" w:rsidRPr="00842B3D" w:rsidRDefault="00F110E7" w:rsidP="0033392E">
            <w:pPr>
              <w:rPr>
                <w:color w:val="313231"/>
                <w:sz w:val="22"/>
                <w:szCs w:val="22"/>
              </w:rPr>
            </w:pPr>
            <w:r w:rsidRPr="00842B3D">
              <w:rPr>
                <w:color w:val="313231"/>
                <w:sz w:val="22"/>
                <w:szCs w:val="22"/>
              </w:rPr>
              <w:t>Efficiencies and other savings</w:t>
            </w:r>
          </w:p>
        </w:tc>
        <w:tc>
          <w:tcPr>
            <w:tcW w:w="1180" w:type="dxa"/>
            <w:tcBorders>
              <w:top w:val="nil"/>
              <w:left w:val="nil"/>
              <w:bottom w:val="nil"/>
              <w:right w:val="nil"/>
            </w:tcBorders>
            <w:shd w:val="clear" w:color="000000" w:fill="D9D9D9"/>
          </w:tcPr>
          <w:p w14:paraId="461AFE8D" w14:textId="77777777" w:rsidR="00F110E7" w:rsidRPr="0075347D" w:rsidRDefault="00F110E7" w:rsidP="009D1DBB">
            <w:pPr>
              <w:jc w:val="right"/>
              <w:rPr>
                <w:color w:val="313231"/>
                <w:sz w:val="22"/>
                <w:szCs w:val="22"/>
              </w:rPr>
            </w:pPr>
            <w:r w:rsidRPr="0075347D">
              <w:rPr>
                <w:color w:val="313231"/>
                <w:sz w:val="22"/>
                <w:szCs w:val="22"/>
              </w:rPr>
              <w:t>-150.8</w:t>
            </w:r>
          </w:p>
        </w:tc>
      </w:tr>
      <w:tr w:rsidR="00063348" w:rsidRPr="00842B3D" w14:paraId="59CFD960" w14:textId="77777777" w:rsidTr="009D1DBB">
        <w:trPr>
          <w:trHeight w:val="300"/>
        </w:trPr>
        <w:tc>
          <w:tcPr>
            <w:tcW w:w="4200" w:type="dxa"/>
            <w:tcBorders>
              <w:top w:val="nil"/>
              <w:left w:val="single" w:sz="8" w:space="0" w:color="FFFFFF"/>
              <w:bottom w:val="nil"/>
              <w:right w:val="nil"/>
            </w:tcBorders>
            <w:shd w:val="clear" w:color="auto" w:fill="auto"/>
            <w:hideMark/>
          </w:tcPr>
          <w:p w14:paraId="7F2F8203" w14:textId="77777777" w:rsidR="00063348" w:rsidRPr="00842B3D" w:rsidRDefault="00063348" w:rsidP="00063348">
            <w:pPr>
              <w:rPr>
                <w:color w:val="313231"/>
                <w:sz w:val="22"/>
                <w:szCs w:val="22"/>
              </w:rPr>
            </w:pPr>
            <w:r w:rsidRPr="00842B3D">
              <w:rPr>
                <w:color w:val="313231"/>
                <w:sz w:val="22"/>
                <w:szCs w:val="22"/>
              </w:rPr>
              <w:t>New initiatives</w:t>
            </w:r>
          </w:p>
        </w:tc>
        <w:tc>
          <w:tcPr>
            <w:tcW w:w="1180" w:type="dxa"/>
            <w:tcBorders>
              <w:top w:val="nil"/>
              <w:left w:val="nil"/>
              <w:bottom w:val="nil"/>
              <w:right w:val="nil"/>
            </w:tcBorders>
            <w:shd w:val="clear" w:color="000000" w:fill="D9D9D9"/>
          </w:tcPr>
          <w:p w14:paraId="5C9BA32D" w14:textId="77777777" w:rsidR="00063348" w:rsidRPr="0075347D" w:rsidRDefault="00063348" w:rsidP="009D1DBB">
            <w:pPr>
              <w:jc w:val="right"/>
              <w:rPr>
                <w:color w:val="313231"/>
                <w:sz w:val="22"/>
                <w:szCs w:val="22"/>
              </w:rPr>
            </w:pPr>
            <w:r>
              <w:rPr>
                <w:color w:val="313231"/>
                <w:sz w:val="22"/>
                <w:szCs w:val="22"/>
              </w:rPr>
              <w:t>512.1</w:t>
            </w:r>
          </w:p>
        </w:tc>
      </w:tr>
      <w:tr w:rsidR="00063348" w:rsidRPr="00842B3D" w14:paraId="3634631D" w14:textId="77777777" w:rsidTr="009D1DBB">
        <w:trPr>
          <w:trHeight w:val="525"/>
        </w:trPr>
        <w:tc>
          <w:tcPr>
            <w:tcW w:w="4200" w:type="dxa"/>
            <w:tcBorders>
              <w:top w:val="nil"/>
              <w:left w:val="single" w:sz="8" w:space="0" w:color="FFFFFF"/>
              <w:bottom w:val="single" w:sz="8" w:space="0" w:color="A5A6A5"/>
              <w:right w:val="nil"/>
            </w:tcBorders>
            <w:shd w:val="clear" w:color="auto" w:fill="auto"/>
            <w:hideMark/>
          </w:tcPr>
          <w:p w14:paraId="15D32486" w14:textId="77777777" w:rsidR="00063348" w:rsidRPr="00842B3D" w:rsidRDefault="00063348" w:rsidP="00063348">
            <w:pPr>
              <w:rPr>
                <w:color w:val="313231"/>
                <w:sz w:val="22"/>
                <w:szCs w:val="22"/>
              </w:rPr>
            </w:pPr>
            <w:r w:rsidRPr="00842B3D">
              <w:rPr>
                <w:color w:val="313231"/>
                <w:sz w:val="22"/>
                <w:szCs w:val="22"/>
              </w:rPr>
              <w:t>Other changes (for example fares revenue and government grants)</w:t>
            </w:r>
          </w:p>
        </w:tc>
        <w:tc>
          <w:tcPr>
            <w:tcW w:w="1180" w:type="dxa"/>
            <w:tcBorders>
              <w:top w:val="nil"/>
              <w:left w:val="nil"/>
              <w:bottom w:val="single" w:sz="8" w:space="0" w:color="A5A6A5"/>
              <w:right w:val="nil"/>
            </w:tcBorders>
            <w:shd w:val="clear" w:color="000000" w:fill="D9D9D9"/>
          </w:tcPr>
          <w:p w14:paraId="602CEAB1" w14:textId="77777777" w:rsidR="00063348" w:rsidRPr="0075347D" w:rsidRDefault="00063348" w:rsidP="009D1DBB">
            <w:pPr>
              <w:jc w:val="right"/>
              <w:rPr>
                <w:color w:val="313231"/>
                <w:sz w:val="22"/>
                <w:szCs w:val="22"/>
              </w:rPr>
            </w:pPr>
            <w:r w:rsidRPr="0075347D">
              <w:rPr>
                <w:color w:val="313231"/>
                <w:sz w:val="22"/>
                <w:szCs w:val="22"/>
              </w:rPr>
              <w:t>-</w:t>
            </w:r>
            <w:r>
              <w:rPr>
                <w:color w:val="313231"/>
                <w:sz w:val="22"/>
                <w:szCs w:val="22"/>
              </w:rPr>
              <w:t>555.8</w:t>
            </w:r>
          </w:p>
        </w:tc>
      </w:tr>
      <w:tr w:rsidR="00F110E7" w:rsidRPr="00842B3D" w14:paraId="106B58F1" w14:textId="77777777" w:rsidTr="0033392E">
        <w:trPr>
          <w:trHeight w:val="315"/>
        </w:trPr>
        <w:tc>
          <w:tcPr>
            <w:tcW w:w="4200" w:type="dxa"/>
            <w:tcBorders>
              <w:top w:val="nil"/>
              <w:left w:val="single" w:sz="8" w:space="0" w:color="FFFFFF"/>
              <w:bottom w:val="single" w:sz="8" w:space="0" w:color="A5A6A5"/>
              <w:right w:val="nil"/>
            </w:tcBorders>
            <w:shd w:val="clear" w:color="000000" w:fill="FFFFFF"/>
            <w:vAlign w:val="center"/>
            <w:hideMark/>
          </w:tcPr>
          <w:p w14:paraId="12CB2F12" w14:textId="77777777" w:rsidR="00F110E7" w:rsidRPr="00842B3D" w:rsidRDefault="00063348" w:rsidP="0033392E">
            <w:pPr>
              <w:rPr>
                <w:b/>
                <w:bCs/>
                <w:color w:val="313231"/>
                <w:sz w:val="22"/>
                <w:szCs w:val="22"/>
              </w:rPr>
            </w:pPr>
            <w:r w:rsidRPr="00842B3D">
              <w:rPr>
                <w:b/>
                <w:bCs/>
                <w:color w:val="313231"/>
                <w:sz w:val="22"/>
                <w:szCs w:val="22"/>
              </w:rPr>
              <w:t>Amount met by council taxpayers (£m)</w:t>
            </w:r>
          </w:p>
        </w:tc>
        <w:tc>
          <w:tcPr>
            <w:tcW w:w="1180" w:type="dxa"/>
            <w:tcBorders>
              <w:top w:val="nil"/>
              <w:left w:val="nil"/>
              <w:bottom w:val="single" w:sz="8" w:space="0" w:color="A5A6A5"/>
              <w:right w:val="nil"/>
            </w:tcBorders>
            <w:shd w:val="clear" w:color="000000" w:fill="D9D9D9"/>
            <w:vAlign w:val="center"/>
          </w:tcPr>
          <w:p w14:paraId="17D98FB9" w14:textId="77777777" w:rsidR="00F110E7" w:rsidRPr="003758CA" w:rsidRDefault="00F110E7" w:rsidP="0033392E">
            <w:pPr>
              <w:jc w:val="right"/>
              <w:rPr>
                <w:b/>
                <w:bCs/>
                <w:color w:val="313231"/>
                <w:sz w:val="22"/>
                <w:szCs w:val="22"/>
              </w:rPr>
            </w:pPr>
            <w:r>
              <w:rPr>
                <w:b/>
                <w:bCs/>
                <w:color w:val="313231"/>
                <w:sz w:val="22"/>
                <w:szCs w:val="22"/>
              </w:rPr>
              <w:t>1,010.9</w:t>
            </w:r>
          </w:p>
        </w:tc>
      </w:tr>
      <w:tr w:rsidR="00F110E7" w14:paraId="736F9FC4" w14:textId="77777777" w:rsidTr="0033392E">
        <w:trPr>
          <w:trHeight w:val="315"/>
        </w:trPr>
        <w:tc>
          <w:tcPr>
            <w:tcW w:w="4200" w:type="dxa"/>
            <w:tcBorders>
              <w:top w:val="nil"/>
              <w:left w:val="nil"/>
              <w:bottom w:val="nil"/>
              <w:right w:val="nil"/>
            </w:tcBorders>
            <w:shd w:val="clear" w:color="auto" w:fill="auto"/>
            <w:noWrap/>
            <w:vAlign w:val="bottom"/>
            <w:hideMark/>
          </w:tcPr>
          <w:p w14:paraId="013FD9E4" w14:textId="77777777" w:rsidR="00F110E7" w:rsidRDefault="00F110E7" w:rsidP="0033392E">
            <w:pPr>
              <w:rPr>
                <w:rFonts w:ascii="Calibri" w:hAnsi="Calibri"/>
                <w:color w:val="000000"/>
                <w:sz w:val="22"/>
                <w:szCs w:val="22"/>
              </w:rPr>
            </w:pPr>
          </w:p>
        </w:tc>
        <w:tc>
          <w:tcPr>
            <w:tcW w:w="1180" w:type="dxa"/>
            <w:tcBorders>
              <w:top w:val="nil"/>
              <w:left w:val="nil"/>
              <w:bottom w:val="nil"/>
              <w:right w:val="nil"/>
            </w:tcBorders>
            <w:shd w:val="clear" w:color="auto" w:fill="auto"/>
            <w:noWrap/>
            <w:vAlign w:val="bottom"/>
          </w:tcPr>
          <w:p w14:paraId="0996A61F" w14:textId="77777777" w:rsidR="00F110E7" w:rsidRDefault="00F110E7" w:rsidP="0033392E">
            <w:pPr>
              <w:rPr>
                <w:rFonts w:ascii="Calibri" w:hAnsi="Calibri"/>
                <w:color w:val="000000"/>
                <w:sz w:val="22"/>
                <w:szCs w:val="22"/>
              </w:rPr>
            </w:pPr>
          </w:p>
        </w:tc>
      </w:tr>
    </w:tbl>
    <w:p w14:paraId="1C5129DD" w14:textId="77777777" w:rsidR="00F110E7" w:rsidRPr="00BE2AAB" w:rsidRDefault="00F110E7" w:rsidP="00F110E7">
      <w:pPr>
        <w:pStyle w:val="BodyTextIndent"/>
        <w:spacing w:after="60"/>
        <w:ind w:left="0"/>
        <w:rPr>
          <w:b/>
          <w:bCs/>
          <w:sz w:val="22"/>
          <w:szCs w:val="22"/>
        </w:rPr>
      </w:pPr>
      <w:r w:rsidRPr="00BE2AAB">
        <w:rPr>
          <w:b/>
          <w:bCs/>
          <w:sz w:val="22"/>
          <w:szCs w:val="22"/>
        </w:rPr>
        <w:t>Detailed budget by service area</w:t>
      </w:r>
    </w:p>
    <w:p w14:paraId="70BFC4B2" w14:textId="77777777" w:rsidR="00F110E7" w:rsidRPr="00BE2AAB" w:rsidRDefault="00F110E7" w:rsidP="00F110E7">
      <w:pPr>
        <w:rPr>
          <w:sz w:val="22"/>
          <w:szCs w:val="22"/>
        </w:rPr>
      </w:pPr>
      <w:r w:rsidRPr="00BE2AAB">
        <w:rPr>
          <w:sz w:val="22"/>
          <w:szCs w:val="22"/>
        </w:rPr>
        <w:t xml:space="preserve">The table below compares the GLA Group’s expenditure on policing, fire and other services (including transport) in </w:t>
      </w:r>
      <w:r>
        <w:rPr>
          <w:sz w:val="22"/>
          <w:szCs w:val="22"/>
        </w:rPr>
        <w:t>2020-21</w:t>
      </w:r>
      <w:r w:rsidRPr="00BE2AAB">
        <w:rPr>
          <w:sz w:val="22"/>
          <w:szCs w:val="22"/>
        </w:rPr>
        <w:t xml:space="preserve"> with </w:t>
      </w:r>
      <w:r>
        <w:rPr>
          <w:sz w:val="22"/>
          <w:szCs w:val="22"/>
        </w:rPr>
        <w:t>2019-20</w:t>
      </w:r>
      <w:r w:rsidRPr="00BE2AAB">
        <w:rPr>
          <w:sz w:val="22"/>
          <w:szCs w:val="22"/>
        </w:rPr>
        <w:t>.</w:t>
      </w:r>
    </w:p>
    <w:p w14:paraId="07E9D076" w14:textId="77777777" w:rsidR="00F110E7" w:rsidRPr="00BE2AAB" w:rsidRDefault="00F110E7" w:rsidP="00F110E7">
      <w:pPr>
        <w:rPr>
          <w:sz w:val="22"/>
          <w:szCs w:val="22"/>
        </w:rPr>
      </w:pPr>
    </w:p>
    <w:p w14:paraId="2FEEF2A5" w14:textId="77777777" w:rsidR="00F110E7" w:rsidRPr="00BE2AAB" w:rsidRDefault="00F110E7" w:rsidP="00F110E7">
      <w:pPr>
        <w:rPr>
          <w:sz w:val="22"/>
          <w:szCs w:val="22"/>
        </w:rPr>
      </w:pPr>
      <w:r w:rsidRPr="00F951F1">
        <w:rPr>
          <w:sz w:val="22"/>
          <w:szCs w:val="22"/>
        </w:rPr>
        <w:t>The GLA’s gross expenditure is higher this year</w:t>
      </w:r>
      <w:r>
        <w:rPr>
          <w:sz w:val="22"/>
          <w:szCs w:val="22"/>
        </w:rPr>
        <w:t xml:space="preserve">. This is mainly due to </w:t>
      </w:r>
      <w:r w:rsidRPr="00F951F1">
        <w:rPr>
          <w:sz w:val="22"/>
          <w:szCs w:val="22"/>
        </w:rPr>
        <w:t xml:space="preserve">the impact of </w:t>
      </w:r>
      <w:r>
        <w:rPr>
          <w:sz w:val="22"/>
          <w:szCs w:val="22"/>
        </w:rPr>
        <w:t xml:space="preserve">extra investment planned by the Mayor in transport, policing, adult education and the fire service as well as additional business rates receipts being paid over to the Government to support local services elsewhere in England. </w:t>
      </w:r>
      <w:r w:rsidRPr="00F951F1">
        <w:rPr>
          <w:sz w:val="22"/>
          <w:szCs w:val="22"/>
        </w:rPr>
        <w:t xml:space="preserve">Overall the council tax requirement has increased </w:t>
      </w:r>
      <w:r>
        <w:rPr>
          <w:sz w:val="22"/>
          <w:szCs w:val="22"/>
        </w:rPr>
        <w:t>because of</w:t>
      </w:r>
      <w:r w:rsidRPr="00F951F1">
        <w:rPr>
          <w:sz w:val="22"/>
          <w:szCs w:val="22"/>
        </w:rPr>
        <w:t xml:space="preserve"> the</w:t>
      </w:r>
      <w:r>
        <w:rPr>
          <w:sz w:val="22"/>
          <w:szCs w:val="22"/>
        </w:rPr>
        <w:t xml:space="preserve"> extra funding for the Metropolitan Police and the London Fire Brigade. There has also been a 1.6</w:t>
      </w:r>
      <w:r w:rsidRPr="00F951F1">
        <w:rPr>
          <w:sz w:val="22"/>
          <w:szCs w:val="22"/>
        </w:rPr>
        <w:t xml:space="preserve"> per cent increase in London’s residential property taxbase.</w:t>
      </w:r>
      <w:r>
        <w:rPr>
          <w:sz w:val="22"/>
          <w:szCs w:val="22"/>
        </w:rPr>
        <w:t xml:space="preserve"> </w:t>
      </w:r>
      <w:r w:rsidRPr="00BE2AAB">
        <w:rPr>
          <w:sz w:val="22"/>
          <w:szCs w:val="22"/>
        </w:rPr>
        <w:t xml:space="preserve">Find out more about our budget at: </w:t>
      </w:r>
      <w:hyperlink r:id="rId12" w:history="1">
        <w:r w:rsidRPr="00BE2AAB">
          <w:rPr>
            <w:sz w:val="22"/>
            <w:szCs w:val="22"/>
          </w:rPr>
          <w:t>www.london.gov.uk</w:t>
        </w:r>
      </w:hyperlink>
      <w:r>
        <w:rPr>
          <w:sz w:val="22"/>
          <w:szCs w:val="22"/>
        </w:rPr>
        <w:t>/budget (tel: 020 7983 4000)</w:t>
      </w:r>
      <w:r w:rsidRPr="00BE2AAB">
        <w:rPr>
          <w:sz w:val="22"/>
          <w:szCs w:val="22"/>
        </w:rPr>
        <w:t>.</w:t>
      </w:r>
    </w:p>
    <w:p w14:paraId="7CDF6B1F" w14:textId="77777777" w:rsidR="00F110E7" w:rsidRDefault="00F110E7" w:rsidP="00F110E7">
      <w:pPr>
        <w:rPr>
          <w:bCs/>
        </w:rPr>
      </w:pPr>
    </w:p>
    <w:p w14:paraId="221D7388" w14:textId="77777777" w:rsidR="00F110E7" w:rsidRDefault="00F110E7" w:rsidP="00F110E7">
      <w:pPr>
        <w:rPr>
          <w:bCs/>
        </w:rPr>
      </w:pPr>
      <w:r>
        <w:rPr>
          <w:bCs/>
        </w:rPr>
        <w:br w:type="page"/>
      </w:r>
    </w:p>
    <w:p w14:paraId="5EE5F834" w14:textId="77777777" w:rsidR="00F110E7" w:rsidRDefault="00F110E7" w:rsidP="00F110E7">
      <w:pPr>
        <w:pStyle w:val="BodyTextIndent"/>
        <w:spacing w:after="180"/>
        <w:rPr>
          <w:bCs/>
        </w:rPr>
        <w:sectPr w:rsidR="00F110E7" w:rsidSect="00E82A7F">
          <w:pgSz w:w="11906" w:h="16838"/>
          <w:pgMar w:top="964" w:right="851" w:bottom="964" w:left="851" w:header="709" w:footer="709" w:gutter="0"/>
          <w:cols w:space="708"/>
          <w:docGrid w:linePitch="360"/>
        </w:sectPr>
      </w:pPr>
    </w:p>
    <w:p w14:paraId="376FCDE4" w14:textId="77777777" w:rsidR="00F110E7" w:rsidRDefault="00F110E7" w:rsidP="00F110E7">
      <w:pPr>
        <w:pStyle w:val="BodyTextIndent"/>
        <w:spacing w:after="180"/>
        <w:rPr>
          <w:bCs/>
        </w:rPr>
      </w:pPr>
    </w:p>
    <w:p w14:paraId="573A65FD" w14:textId="77777777" w:rsidR="00F110E7" w:rsidRDefault="00F110E7" w:rsidP="00F110E7">
      <w:pPr>
        <w:pStyle w:val="BodyTextIndent"/>
        <w:spacing w:after="180"/>
        <w:rPr>
          <w:bCs/>
        </w:rPr>
      </w:pPr>
    </w:p>
    <w:tbl>
      <w:tblPr>
        <w:tblW w:w="13640" w:type="dxa"/>
        <w:tblInd w:w="93" w:type="dxa"/>
        <w:tblLook w:val="04A0" w:firstRow="1" w:lastRow="0" w:firstColumn="1" w:lastColumn="0" w:noHBand="0" w:noVBand="1"/>
      </w:tblPr>
      <w:tblGrid>
        <w:gridCol w:w="4200"/>
        <w:gridCol w:w="1180"/>
        <w:gridCol w:w="1180"/>
        <w:gridCol w:w="1180"/>
        <w:gridCol w:w="1180"/>
        <w:gridCol w:w="1180"/>
        <w:gridCol w:w="1180"/>
        <w:gridCol w:w="1180"/>
        <w:gridCol w:w="1180"/>
      </w:tblGrid>
      <w:tr w:rsidR="00F110E7" w14:paraId="2997F562" w14:textId="77777777" w:rsidTr="0033392E">
        <w:trPr>
          <w:trHeight w:val="1350"/>
        </w:trPr>
        <w:tc>
          <w:tcPr>
            <w:tcW w:w="4200" w:type="dxa"/>
            <w:tcBorders>
              <w:top w:val="single" w:sz="8" w:space="0" w:color="A5A6A5"/>
              <w:left w:val="single" w:sz="8" w:space="0" w:color="FFFFFF"/>
              <w:bottom w:val="nil"/>
              <w:right w:val="nil"/>
            </w:tcBorders>
            <w:shd w:val="clear" w:color="000000" w:fill="FFFFFF"/>
            <w:noWrap/>
            <w:vAlign w:val="center"/>
            <w:hideMark/>
          </w:tcPr>
          <w:p w14:paraId="766783A8" w14:textId="77777777" w:rsidR="00F110E7" w:rsidRPr="009D1DBB" w:rsidRDefault="00F110E7" w:rsidP="0033392E">
            <w:pPr>
              <w:rPr>
                <w:b/>
                <w:bCs/>
                <w:color w:val="313231"/>
                <w:sz w:val="20"/>
                <w:szCs w:val="20"/>
              </w:rPr>
            </w:pPr>
            <w:r w:rsidRPr="009D1DBB">
              <w:rPr>
                <w:b/>
                <w:bCs/>
                <w:color w:val="313231"/>
                <w:sz w:val="20"/>
                <w:szCs w:val="20"/>
              </w:rPr>
              <w:t>Summary of Spending and Income (£ million)</w:t>
            </w:r>
          </w:p>
        </w:tc>
        <w:tc>
          <w:tcPr>
            <w:tcW w:w="2360" w:type="dxa"/>
            <w:gridSpan w:val="2"/>
            <w:tcBorders>
              <w:top w:val="single" w:sz="8" w:space="0" w:color="A5A6A5"/>
              <w:left w:val="nil"/>
              <w:bottom w:val="nil"/>
              <w:right w:val="nil"/>
            </w:tcBorders>
            <w:shd w:val="clear" w:color="auto" w:fill="auto"/>
            <w:vAlign w:val="center"/>
            <w:hideMark/>
          </w:tcPr>
          <w:p w14:paraId="7C32C1AF" w14:textId="77777777" w:rsidR="00F110E7" w:rsidRPr="009D1DBB" w:rsidRDefault="00F110E7" w:rsidP="0033392E">
            <w:pPr>
              <w:jc w:val="center"/>
              <w:rPr>
                <w:b/>
                <w:bCs/>
                <w:color w:val="313231"/>
                <w:sz w:val="20"/>
                <w:szCs w:val="20"/>
              </w:rPr>
            </w:pPr>
            <w:r w:rsidRPr="009D1DBB">
              <w:rPr>
                <w:b/>
                <w:bCs/>
                <w:color w:val="313231"/>
                <w:sz w:val="20"/>
                <w:szCs w:val="20"/>
              </w:rPr>
              <w:t>Police (MOPAC)</w:t>
            </w:r>
          </w:p>
        </w:tc>
        <w:tc>
          <w:tcPr>
            <w:tcW w:w="2360" w:type="dxa"/>
            <w:gridSpan w:val="2"/>
            <w:tcBorders>
              <w:top w:val="single" w:sz="8" w:space="0" w:color="A5A6A5"/>
              <w:left w:val="nil"/>
              <w:bottom w:val="nil"/>
              <w:right w:val="nil"/>
            </w:tcBorders>
            <w:shd w:val="clear" w:color="auto" w:fill="auto"/>
            <w:vAlign w:val="center"/>
            <w:hideMark/>
          </w:tcPr>
          <w:p w14:paraId="423D47F1" w14:textId="77777777" w:rsidR="00F110E7" w:rsidRPr="009D1DBB" w:rsidRDefault="00F110E7" w:rsidP="0033392E">
            <w:pPr>
              <w:jc w:val="center"/>
              <w:rPr>
                <w:b/>
                <w:bCs/>
                <w:color w:val="313231"/>
                <w:sz w:val="20"/>
                <w:szCs w:val="20"/>
              </w:rPr>
            </w:pPr>
            <w:r w:rsidRPr="009D1DBB">
              <w:rPr>
                <w:b/>
                <w:bCs/>
                <w:color w:val="313231"/>
                <w:sz w:val="20"/>
                <w:szCs w:val="20"/>
              </w:rPr>
              <w:t>Fire (LFC)</w:t>
            </w:r>
          </w:p>
        </w:tc>
        <w:tc>
          <w:tcPr>
            <w:tcW w:w="2360" w:type="dxa"/>
            <w:gridSpan w:val="2"/>
            <w:tcBorders>
              <w:top w:val="single" w:sz="8" w:space="0" w:color="A5A6A5"/>
              <w:left w:val="nil"/>
              <w:bottom w:val="nil"/>
              <w:right w:val="nil"/>
            </w:tcBorders>
            <w:shd w:val="clear" w:color="auto" w:fill="auto"/>
            <w:vAlign w:val="center"/>
            <w:hideMark/>
          </w:tcPr>
          <w:p w14:paraId="43FDBBA5" w14:textId="77777777" w:rsidR="00F110E7" w:rsidRPr="009D1DBB" w:rsidRDefault="00F110E7" w:rsidP="0033392E">
            <w:pPr>
              <w:jc w:val="center"/>
              <w:rPr>
                <w:b/>
                <w:bCs/>
                <w:color w:val="313231"/>
                <w:sz w:val="20"/>
                <w:szCs w:val="20"/>
              </w:rPr>
            </w:pPr>
            <w:r w:rsidRPr="009D1DBB">
              <w:rPr>
                <w:b/>
                <w:bCs/>
                <w:color w:val="313231"/>
                <w:sz w:val="20"/>
                <w:szCs w:val="20"/>
              </w:rPr>
              <w:t xml:space="preserve">Other Services </w:t>
            </w:r>
          </w:p>
          <w:p w14:paraId="781493A3" w14:textId="77777777" w:rsidR="00F110E7" w:rsidRPr="009D1DBB" w:rsidRDefault="00F110E7" w:rsidP="0033392E">
            <w:pPr>
              <w:jc w:val="center"/>
              <w:rPr>
                <w:b/>
                <w:bCs/>
                <w:color w:val="313231"/>
                <w:sz w:val="20"/>
                <w:szCs w:val="20"/>
              </w:rPr>
            </w:pPr>
            <w:r w:rsidRPr="009D1DBB">
              <w:rPr>
                <w:b/>
                <w:bCs/>
                <w:color w:val="313231"/>
                <w:sz w:val="20"/>
                <w:szCs w:val="20"/>
              </w:rPr>
              <w:t>(incl. GLA, TfL, LLDC and OPDC)</w:t>
            </w:r>
          </w:p>
        </w:tc>
        <w:tc>
          <w:tcPr>
            <w:tcW w:w="2360" w:type="dxa"/>
            <w:gridSpan w:val="2"/>
            <w:tcBorders>
              <w:top w:val="single" w:sz="8" w:space="0" w:color="A5A6A5"/>
              <w:left w:val="nil"/>
              <w:bottom w:val="nil"/>
              <w:right w:val="nil"/>
            </w:tcBorders>
            <w:shd w:val="clear" w:color="auto" w:fill="auto"/>
            <w:vAlign w:val="center"/>
            <w:hideMark/>
          </w:tcPr>
          <w:p w14:paraId="4870C73B" w14:textId="77777777" w:rsidR="00F110E7" w:rsidRPr="009D1DBB" w:rsidRDefault="00F110E7" w:rsidP="0033392E">
            <w:pPr>
              <w:jc w:val="center"/>
              <w:rPr>
                <w:b/>
                <w:bCs/>
                <w:color w:val="313231"/>
                <w:sz w:val="20"/>
                <w:szCs w:val="20"/>
              </w:rPr>
            </w:pPr>
            <w:r w:rsidRPr="009D1DBB">
              <w:rPr>
                <w:b/>
                <w:bCs/>
                <w:color w:val="313231"/>
                <w:sz w:val="20"/>
                <w:szCs w:val="20"/>
              </w:rPr>
              <w:t>GLA Group Total</w:t>
            </w:r>
          </w:p>
        </w:tc>
      </w:tr>
      <w:tr w:rsidR="00F110E7" w14:paraId="6D8C38FB" w14:textId="77777777" w:rsidTr="0033392E">
        <w:trPr>
          <w:trHeight w:val="525"/>
        </w:trPr>
        <w:tc>
          <w:tcPr>
            <w:tcW w:w="4200" w:type="dxa"/>
            <w:tcBorders>
              <w:top w:val="nil"/>
              <w:left w:val="single" w:sz="8" w:space="0" w:color="FFFFFF"/>
              <w:bottom w:val="single" w:sz="8" w:space="0" w:color="A5A6A5"/>
              <w:right w:val="nil"/>
            </w:tcBorders>
            <w:shd w:val="clear" w:color="000000" w:fill="FFFFFF"/>
            <w:noWrap/>
            <w:vAlign w:val="center"/>
            <w:hideMark/>
          </w:tcPr>
          <w:p w14:paraId="45AD6700" w14:textId="77777777" w:rsidR="00F110E7" w:rsidRPr="009D1DBB" w:rsidRDefault="00F110E7" w:rsidP="0033392E">
            <w:pPr>
              <w:rPr>
                <w:b/>
                <w:bCs/>
                <w:color w:val="313231"/>
                <w:sz w:val="16"/>
                <w:szCs w:val="16"/>
              </w:rPr>
            </w:pPr>
            <w:r w:rsidRPr="009D1DBB">
              <w:rPr>
                <w:b/>
                <w:bCs/>
                <w:color w:val="313231"/>
                <w:sz w:val="16"/>
                <w:szCs w:val="16"/>
              </w:rPr>
              <w:t>(figures may not sum exactly due to rounding)</w:t>
            </w:r>
          </w:p>
        </w:tc>
        <w:tc>
          <w:tcPr>
            <w:tcW w:w="1180" w:type="dxa"/>
            <w:tcBorders>
              <w:top w:val="nil"/>
              <w:left w:val="nil"/>
              <w:bottom w:val="single" w:sz="8" w:space="0" w:color="A5A6A5"/>
              <w:right w:val="nil"/>
            </w:tcBorders>
            <w:shd w:val="clear" w:color="auto" w:fill="auto"/>
            <w:vAlign w:val="center"/>
            <w:hideMark/>
          </w:tcPr>
          <w:p w14:paraId="28553FE5" w14:textId="77777777" w:rsidR="00F110E7" w:rsidRPr="009D1DBB" w:rsidRDefault="00F110E7" w:rsidP="0033392E">
            <w:pPr>
              <w:jc w:val="right"/>
              <w:rPr>
                <w:b/>
                <w:bCs/>
                <w:color w:val="313231"/>
                <w:sz w:val="20"/>
                <w:szCs w:val="20"/>
              </w:rPr>
            </w:pPr>
            <w:r w:rsidRPr="009D1DBB">
              <w:rPr>
                <w:b/>
                <w:bCs/>
                <w:color w:val="313231"/>
                <w:sz w:val="20"/>
                <w:szCs w:val="20"/>
              </w:rPr>
              <w:t>2019-20</w:t>
            </w:r>
          </w:p>
        </w:tc>
        <w:tc>
          <w:tcPr>
            <w:tcW w:w="1180" w:type="dxa"/>
            <w:tcBorders>
              <w:top w:val="nil"/>
              <w:left w:val="nil"/>
              <w:bottom w:val="single" w:sz="8" w:space="0" w:color="A5A6A5"/>
              <w:right w:val="nil"/>
            </w:tcBorders>
            <w:shd w:val="clear" w:color="000000" w:fill="D9D9D9"/>
            <w:vAlign w:val="center"/>
            <w:hideMark/>
          </w:tcPr>
          <w:p w14:paraId="69810650" w14:textId="77777777" w:rsidR="00F110E7" w:rsidRPr="009D1DBB" w:rsidRDefault="00F110E7" w:rsidP="0033392E">
            <w:pPr>
              <w:jc w:val="right"/>
              <w:rPr>
                <w:b/>
                <w:bCs/>
                <w:color w:val="313231"/>
                <w:sz w:val="20"/>
                <w:szCs w:val="20"/>
              </w:rPr>
            </w:pPr>
            <w:r w:rsidRPr="009D1DBB">
              <w:rPr>
                <w:b/>
                <w:bCs/>
                <w:color w:val="313231"/>
                <w:sz w:val="20"/>
                <w:szCs w:val="20"/>
              </w:rPr>
              <w:t>2020-21</w:t>
            </w:r>
          </w:p>
        </w:tc>
        <w:tc>
          <w:tcPr>
            <w:tcW w:w="1180" w:type="dxa"/>
            <w:tcBorders>
              <w:top w:val="nil"/>
              <w:left w:val="nil"/>
              <w:bottom w:val="single" w:sz="8" w:space="0" w:color="A5A6A5"/>
              <w:right w:val="nil"/>
            </w:tcBorders>
            <w:shd w:val="clear" w:color="auto" w:fill="auto"/>
            <w:vAlign w:val="center"/>
            <w:hideMark/>
          </w:tcPr>
          <w:p w14:paraId="15DC07E7" w14:textId="77777777" w:rsidR="00F110E7" w:rsidRPr="009D1DBB" w:rsidRDefault="00F110E7" w:rsidP="0033392E">
            <w:pPr>
              <w:jc w:val="right"/>
              <w:rPr>
                <w:b/>
                <w:bCs/>
                <w:color w:val="313231"/>
                <w:sz w:val="20"/>
                <w:szCs w:val="20"/>
              </w:rPr>
            </w:pPr>
            <w:r w:rsidRPr="009D1DBB">
              <w:rPr>
                <w:b/>
                <w:bCs/>
                <w:color w:val="313231"/>
                <w:sz w:val="20"/>
                <w:szCs w:val="20"/>
              </w:rPr>
              <w:t>2019-20</w:t>
            </w:r>
          </w:p>
        </w:tc>
        <w:tc>
          <w:tcPr>
            <w:tcW w:w="1180" w:type="dxa"/>
            <w:tcBorders>
              <w:top w:val="nil"/>
              <w:left w:val="nil"/>
              <w:bottom w:val="single" w:sz="8" w:space="0" w:color="A5A6A5"/>
              <w:right w:val="nil"/>
            </w:tcBorders>
            <w:shd w:val="clear" w:color="000000" w:fill="D9D9D9"/>
            <w:vAlign w:val="center"/>
            <w:hideMark/>
          </w:tcPr>
          <w:p w14:paraId="3527DE6B" w14:textId="77777777" w:rsidR="00F110E7" w:rsidRPr="009D1DBB" w:rsidRDefault="00F110E7" w:rsidP="0033392E">
            <w:pPr>
              <w:jc w:val="right"/>
              <w:rPr>
                <w:b/>
                <w:bCs/>
                <w:color w:val="313231"/>
                <w:sz w:val="20"/>
                <w:szCs w:val="20"/>
              </w:rPr>
            </w:pPr>
            <w:r w:rsidRPr="009D1DBB">
              <w:rPr>
                <w:b/>
                <w:bCs/>
                <w:color w:val="313231"/>
                <w:sz w:val="20"/>
                <w:szCs w:val="20"/>
              </w:rPr>
              <w:t>2020-21</w:t>
            </w:r>
          </w:p>
        </w:tc>
        <w:tc>
          <w:tcPr>
            <w:tcW w:w="1180" w:type="dxa"/>
            <w:tcBorders>
              <w:top w:val="nil"/>
              <w:left w:val="nil"/>
              <w:bottom w:val="single" w:sz="8" w:space="0" w:color="A5A6A5"/>
              <w:right w:val="nil"/>
            </w:tcBorders>
            <w:shd w:val="clear" w:color="auto" w:fill="auto"/>
            <w:vAlign w:val="center"/>
            <w:hideMark/>
          </w:tcPr>
          <w:p w14:paraId="558C7CDF" w14:textId="77777777" w:rsidR="00F110E7" w:rsidRPr="009D1DBB" w:rsidRDefault="00F110E7" w:rsidP="0033392E">
            <w:pPr>
              <w:jc w:val="right"/>
              <w:rPr>
                <w:b/>
                <w:bCs/>
                <w:color w:val="313231"/>
                <w:sz w:val="20"/>
                <w:szCs w:val="20"/>
              </w:rPr>
            </w:pPr>
            <w:r w:rsidRPr="009D1DBB">
              <w:rPr>
                <w:b/>
                <w:bCs/>
                <w:color w:val="313231"/>
                <w:sz w:val="20"/>
                <w:szCs w:val="20"/>
              </w:rPr>
              <w:t>2019-20</w:t>
            </w:r>
          </w:p>
        </w:tc>
        <w:tc>
          <w:tcPr>
            <w:tcW w:w="1180" w:type="dxa"/>
            <w:tcBorders>
              <w:top w:val="nil"/>
              <w:left w:val="nil"/>
              <w:bottom w:val="single" w:sz="8" w:space="0" w:color="A5A6A5"/>
              <w:right w:val="nil"/>
            </w:tcBorders>
            <w:shd w:val="clear" w:color="000000" w:fill="D9D9D9"/>
            <w:vAlign w:val="center"/>
            <w:hideMark/>
          </w:tcPr>
          <w:p w14:paraId="099F543A" w14:textId="77777777" w:rsidR="00F110E7" w:rsidRPr="009D1DBB" w:rsidRDefault="00F110E7" w:rsidP="0033392E">
            <w:pPr>
              <w:jc w:val="right"/>
              <w:rPr>
                <w:b/>
                <w:bCs/>
                <w:color w:val="313231"/>
                <w:sz w:val="20"/>
                <w:szCs w:val="20"/>
              </w:rPr>
            </w:pPr>
            <w:r w:rsidRPr="009D1DBB">
              <w:rPr>
                <w:b/>
                <w:bCs/>
                <w:color w:val="313231"/>
                <w:sz w:val="20"/>
                <w:szCs w:val="20"/>
              </w:rPr>
              <w:t>2020-21</w:t>
            </w:r>
          </w:p>
        </w:tc>
        <w:tc>
          <w:tcPr>
            <w:tcW w:w="1180" w:type="dxa"/>
            <w:tcBorders>
              <w:top w:val="nil"/>
              <w:left w:val="nil"/>
              <w:bottom w:val="single" w:sz="8" w:space="0" w:color="A5A6A5"/>
              <w:right w:val="nil"/>
            </w:tcBorders>
            <w:shd w:val="clear" w:color="auto" w:fill="auto"/>
            <w:vAlign w:val="center"/>
            <w:hideMark/>
          </w:tcPr>
          <w:p w14:paraId="406EE70C" w14:textId="77777777" w:rsidR="00F110E7" w:rsidRPr="009D1DBB" w:rsidRDefault="00F110E7" w:rsidP="0033392E">
            <w:pPr>
              <w:jc w:val="right"/>
              <w:rPr>
                <w:b/>
                <w:bCs/>
                <w:color w:val="313231"/>
                <w:sz w:val="20"/>
                <w:szCs w:val="20"/>
              </w:rPr>
            </w:pPr>
            <w:r w:rsidRPr="009D1DBB">
              <w:rPr>
                <w:b/>
                <w:bCs/>
                <w:color w:val="313231"/>
                <w:sz w:val="20"/>
                <w:szCs w:val="20"/>
              </w:rPr>
              <w:t>2019-20</w:t>
            </w:r>
          </w:p>
        </w:tc>
        <w:tc>
          <w:tcPr>
            <w:tcW w:w="1180" w:type="dxa"/>
            <w:tcBorders>
              <w:top w:val="nil"/>
              <w:left w:val="nil"/>
              <w:bottom w:val="single" w:sz="8" w:space="0" w:color="A5A6A5"/>
              <w:right w:val="nil"/>
            </w:tcBorders>
            <w:shd w:val="clear" w:color="000000" w:fill="D9D9D9"/>
            <w:vAlign w:val="center"/>
            <w:hideMark/>
          </w:tcPr>
          <w:p w14:paraId="79A2971D" w14:textId="77777777" w:rsidR="00F110E7" w:rsidRPr="009D1DBB" w:rsidRDefault="00F110E7" w:rsidP="0033392E">
            <w:pPr>
              <w:jc w:val="right"/>
              <w:rPr>
                <w:b/>
                <w:bCs/>
                <w:color w:val="313231"/>
                <w:sz w:val="20"/>
                <w:szCs w:val="20"/>
              </w:rPr>
            </w:pPr>
            <w:r w:rsidRPr="009D1DBB">
              <w:rPr>
                <w:b/>
                <w:bCs/>
                <w:color w:val="313231"/>
                <w:sz w:val="20"/>
                <w:szCs w:val="20"/>
              </w:rPr>
              <w:t>2020-21</w:t>
            </w:r>
          </w:p>
        </w:tc>
      </w:tr>
      <w:tr w:rsidR="00F110E7" w14:paraId="27BBF336" w14:textId="77777777" w:rsidTr="0033392E">
        <w:trPr>
          <w:trHeight w:val="510"/>
        </w:trPr>
        <w:tc>
          <w:tcPr>
            <w:tcW w:w="4200" w:type="dxa"/>
            <w:tcBorders>
              <w:top w:val="nil"/>
              <w:left w:val="single" w:sz="8" w:space="0" w:color="FFFFFF"/>
              <w:bottom w:val="nil"/>
              <w:right w:val="nil"/>
            </w:tcBorders>
            <w:shd w:val="clear" w:color="auto" w:fill="auto"/>
            <w:vAlign w:val="center"/>
          </w:tcPr>
          <w:p w14:paraId="3772E25B" w14:textId="77777777" w:rsidR="00F110E7" w:rsidRPr="009D1DBB" w:rsidRDefault="00F110E7" w:rsidP="0033392E">
            <w:pPr>
              <w:rPr>
                <w:color w:val="313231"/>
                <w:sz w:val="20"/>
                <w:szCs w:val="20"/>
              </w:rPr>
            </w:pPr>
            <w:r w:rsidRPr="009D1DBB">
              <w:rPr>
                <w:color w:val="313231"/>
                <w:sz w:val="20"/>
                <w:szCs w:val="20"/>
              </w:rPr>
              <w:t>Gross expenditure</w:t>
            </w:r>
          </w:p>
        </w:tc>
        <w:tc>
          <w:tcPr>
            <w:tcW w:w="1180" w:type="dxa"/>
            <w:tcBorders>
              <w:top w:val="nil"/>
              <w:left w:val="nil"/>
              <w:bottom w:val="nil"/>
              <w:right w:val="nil"/>
            </w:tcBorders>
            <w:shd w:val="clear" w:color="auto" w:fill="auto"/>
            <w:vAlign w:val="center"/>
          </w:tcPr>
          <w:p w14:paraId="4D62898F" w14:textId="77777777" w:rsidR="00F110E7" w:rsidRPr="009D1DBB" w:rsidRDefault="00F110E7" w:rsidP="0033392E">
            <w:pPr>
              <w:jc w:val="right"/>
              <w:rPr>
                <w:color w:val="313231"/>
                <w:sz w:val="20"/>
                <w:szCs w:val="20"/>
                <w:lang w:eastAsia="en-GB"/>
              </w:rPr>
            </w:pPr>
            <w:r w:rsidRPr="009D1DBB">
              <w:rPr>
                <w:color w:val="313231"/>
                <w:sz w:val="20"/>
                <w:szCs w:val="20"/>
              </w:rPr>
              <w:t>3,556.7</w:t>
            </w:r>
          </w:p>
        </w:tc>
        <w:tc>
          <w:tcPr>
            <w:tcW w:w="1180" w:type="dxa"/>
            <w:tcBorders>
              <w:top w:val="nil"/>
              <w:left w:val="nil"/>
              <w:bottom w:val="nil"/>
              <w:right w:val="nil"/>
            </w:tcBorders>
            <w:shd w:val="clear" w:color="000000" w:fill="D9D9D9"/>
            <w:vAlign w:val="center"/>
          </w:tcPr>
          <w:p w14:paraId="58441E3F" w14:textId="77777777" w:rsidR="00F110E7" w:rsidRPr="009D1DBB" w:rsidRDefault="00F110E7" w:rsidP="0033392E">
            <w:pPr>
              <w:jc w:val="right"/>
              <w:rPr>
                <w:color w:val="313231"/>
                <w:sz w:val="20"/>
                <w:szCs w:val="20"/>
                <w:lang w:eastAsia="en-GB"/>
              </w:rPr>
            </w:pPr>
            <w:r w:rsidRPr="009D1DBB">
              <w:rPr>
                <w:color w:val="313231"/>
                <w:sz w:val="20"/>
                <w:szCs w:val="20"/>
              </w:rPr>
              <w:t>3,885.3</w:t>
            </w:r>
          </w:p>
        </w:tc>
        <w:tc>
          <w:tcPr>
            <w:tcW w:w="1180" w:type="dxa"/>
            <w:tcBorders>
              <w:top w:val="nil"/>
              <w:left w:val="nil"/>
              <w:bottom w:val="nil"/>
              <w:right w:val="nil"/>
            </w:tcBorders>
            <w:shd w:val="clear" w:color="auto" w:fill="auto"/>
            <w:vAlign w:val="center"/>
          </w:tcPr>
          <w:p w14:paraId="484934EC" w14:textId="77777777" w:rsidR="00F110E7" w:rsidRPr="009D1DBB" w:rsidRDefault="00F110E7" w:rsidP="0033392E">
            <w:pPr>
              <w:jc w:val="right"/>
              <w:rPr>
                <w:color w:val="313231"/>
                <w:sz w:val="20"/>
                <w:szCs w:val="20"/>
                <w:lang w:eastAsia="en-GB"/>
              </w:rPr>
            </w:pPr>
            <w:r w:rsidRPr="009D1DBB">
              <w:rPr>
                <w:color w:val="313231"/>
                <w:sz w:val="20"/>
                <w:szCs w:val="20"/>
              </w:rPr>
              <w:t>450.3</w:t>
            </w:r>
          </w:p>
        </w:tc>
        <w:tc>
          <w:tcPr>
            <w:tcW w:w="1180" w:type="dxa"/>
            <w:tcBorders>
              <w:top w:val="nil"/>
              <w:left w:val="nil"/>
              <w:bottom w:val="nil"/>
              <w:right w:val="nil"/>
            </w:tcBorders>
            <w:shd w:val="clear" w:color="000000" w:fill="D9D9D9"/>
            <w:vAlign w:val="center"/>
          </w:tcPr>
          <w:p w14:paraId="3B801A00" w14:textId="77777777" w:rsidR="00F110E7" w:rsidRPr="009D1DBB" w:rsidRDefault="00F110E7" w:rsidP="0033392E">
            <w:pPr>
              <w:jc w:val="right"/>
              <w:rPr>
                <w:color w:val="313231"/>
                <w:sz w:val="20"/>
                <w:szCs w:val="20"/>
                <w:lang w:eastAsia="en-GB"/>
              </w:rPr>
            </w:pPr>
            <w:r w:rsidRPr="009D1DBB">
              <w:rPr>
                <w:color w:val="313231"/>
                <w:sz w:val="20"/>
                <w:szCs w:val="20"/>
              </w:rPr>
              <w:t>489.5</w:t>
            </w:r>
          </w:p>
        </w:tc>
        <w:tc>
          <w:tcPr>
            <w:tcW w:w="1180" w:type="dxa"/>
            <w:tcBorders>
              <w:top w:val="nil"/>
              <w:left w:val="nil"/>
              <w:bottom w:val="nil"/>
              <w:right w:val="nil"/>
            </w:tcBorders>
            <w:shd w:val="clear" w:color="auto" w:fill="auto"/>
            <w:vAlign w:val="center"/>
          </w:tcPr>
          <w:p w14:paraId="3C724ACA" w14:textId="77777777" w:rsidR="00F110E7" w:rsidRPr="009D1DBB" w:rsidRDefault="00F110E7" w:rsidP="0033392E">
            <w:pPr>
              <w:jc w:val="right"/>
              <w:rPr>
                <w:color w:val="313231"/>
                <w:sz w:val="20"/>
                <w:szCs w:val="20"/>
                <w:lang w:eastAsia="en-GB"/>
              </w:rPr>
            </w:pPr>
            <w:r w:rsidRPr="009D1DBB">
              <w:rPr>
                <w:color w:val="313231"/>
                <w:sz w:val="20"/>
                <w:szCs w:val="20"/>
              </w:rPr>
              <w:t>8,225.6</w:t>
            </w:r>
          </w:p>
        </w:tc>
        <w:tc>
          <w:tcPr>
            <w:tcW w:w="1180" w:type="dxa"/>
            <w:tcBorders>
              <w:top w:val="nil"/>
              <w:left w:val="nil"/>
              <w:bottom w:val="nil"/>
              <w:right w:val="nil"/>
            </w:tcBorders>
            <w:shd w:val="clear" w:color="000000" w:fill="D9D9D9"/>
            <w:vAlign w:val="center"/>
          </w:tcPr>
          <w:p w14:paraId="07AC0A97" w14:textId="77777777" w:rsidR="00F110E7" w:rsidRPr="009D1DBB" w:rsidRDefault="00F110E7" w:rsidP="0033392E">
            <w:pPr>
              <w:jc w:val="right"/>
              <w:rPr>
                <w:color w:val="313231"/>
                <w:sz w:val="20"/>
                <w:szCs w:val="20"/>
                <w:lang w:eastAsia="en-GB"/>
              </w:rPr>
            </w:pPr>
            <w:r w:rsidRPr="009D1DBB">
              <w:rPr>
                <w:color w:val="313231"/>
                <w:sz w:val="20"/>
                <w:szCs w:val="20"/>
              </w:rPr>
              <w:t>8,991.1</w:t>
            </w:r>
          </w:p>
        </w:tc>
        <w:tc>
          <w:tcPr>
            <w:tcW w:w="1180" w:type="dxa"/>
            <w:tcBorders>
              <w:top w:val="nil"/>
              <w:left w:val="nil"/>
              <w:bottom w:val="nil"/>
              <w:right w:val="nil"/>
            </w:tcBorders>
            <w:shd w:val="clear" w:color="auto" w:fill="auto"/>
            <w:vAlign w:val="center"/>
          </w:tcPr>
          <w:p w14:paraId="6E1F0936" w14:textId="77777777" w:rsidR="00F110E7" w:rsidRPr="009D1DBB" w:rsidRDefault="00F110E7" w:rsidP="0033392E">
            <w:pPr>
              <w:jc w:val="right"/>
              <w:rPr>
                <w:color w:val="313231"/>
                <w:sz w:val="20"/>
                <w:szCs w:val="20"/>
                <w:lang w:eastAsia="en-GB"/>
              </w:rPr>
            </w:pPr>
            <w:r w:rsidRPr="009D1DBB">
              <w:rPr>
                <w:color w:val="313231"/>
                <w:sz w:val="20"/>
                <w:szCs w:val="20"/>
              </w:rPr>
              <w:t>12,232.6</w:t>
            </w:r>
          </w:p>
        </w:tc>
        <w:tc>
          <w:tcPr>
            <w:tcW w:w="1180" w:type="dxa"/>
            <w:tcBorders>
              <w:top w:val="nil"/>
              <w:left w:val="nil"/>
              <w:bottom w:val="nil"/>
              <w:right w:val="nil"/>
            </w:tcBorders>
            <w:shd w:val="clear" w:color="000000" w:fill="D9D9D9"/>
            <w:vAlign w:val="center"/>
          </w:tcPr>
          <w:p w14:paraId="37B14BF6" w14:textId="77777777" w:rsidR="00F110E7" w:rsidRPr="009D1DBB" w:rsidRDefault="00F110E7" w:rsidP="0033392E">
            <w:pPr>
              <w:jc w:val="right"/>
              <w:rPr>
                <w:color w:val="313231"/>
                <w:sz w:val="20"/>
                <w:szCs w:val="20"/>
                <w:lang w:eastAsia="en-GB"/>
              </w:rPr>
            </w:pPr>
            <w:r w:rsidRPr="009D1DBB">
              <w:rPr>
                <w:color w:val="313231"/>
                <w:sz w:val="20"/>
                <w:szCs w:val="20"/>
              </w:rPr>
              <w:t>13,365.9</w:t>
            </w:r>
          </w:p>
        </w:tc>
      </w:tr>
      <w:tr w:rsidR="00F110E7" w14:paraId="0B337CE1" w14:textId="77777777" w:rsidTr="0033392E">
        <w:trPr>
          <w:trHeight w:val="510"/>
        </w:trPr>
        <w:tc>
          <w:tcPr>
            <w:tcW w:w="4200" w:type="dxa"/>
            <w:tcBorders>
              <w:top w:val="nil"/>
              <w:left w:val="single" w:sz="8" w:space="0" w:color="FFFFFF"/>
              <w:bottom w:val="nil"/>
              <w:right w:val="nil"/>
            </w:tcBorders>
            <w:shd w:val="clear" w:color="auto" w:fill="auto"/>
            <w:vAlign w:val="center"/>
            <w:hideMark/>
          </w:tcPr>
          <w:p w14:paraId="706E2619" w14:textId="77777777" w:rsidR="00F110E7" w:rsidRPr="009D1DBB" w:rsidRDefault="00F110E7" w:rsidP="0033392E">
            <w:pPr>
              <w:rPr>
                <w:color w:val="313231"/>
                <w:sz w:val="20"/>
                <w:szCs w:val="20"/>
              </w:rPr>
            </w:pPr>
            <w:r w:rsidRPr="009D1DBB">
              <w:rPr>
                <w:color w:val="313231"/>
                <w:sz w:val="20"/>
                <w:szCs w:val="20"/>
              </w:rPr>
              <w:t>Government grants and business rates</w:t>
            </w:r>
          </w:p>
        </w:tc>
        <w:tc>
          <w:tcPr>
            <w:tcW w:w="1180" w:type="dxa"/>
            <w:tcBorders>
              <w:top w:val="nil"/>
              <w:left w:val="nil"/>
              <w:bottom w:val="nil"/>
              <w:right w:val="nil"/>
            </w:tcBorders>
            <w:shd w:val="clear" w:color="auto" w:fill="auto"/>
            <w:vAlign w:val="center"/>
            <w:hideMark/>
          </w:tcPr>
          <w:p w14:paraId="4CB871DC" w14:textId="77777777" w:rsidR="00F110E7" w:rsidRPr="009D1DBB" w:rsidRDefault="00F110E7" w:rsidP="0033392E">
            <w:pPr>
              <w:jc w:val="right"/>
              <w:rPr>
                <w:color w:val="313231"/>
                <w:sz w:val="20"/>
                <w:szCs w:val="20"/>
              </w:rPr>
            </w:pPr>
            <w:r w:rsidRPr="009D1DBB">
              <w:rPr>
                <w:color w:val="313231"/>
                <w:sz w:val="20"/>
                <w:szCs w:val="20"/>
              </w:rPr>
              <w:t>-2,656.4</w:t>
            </w:r>
          </w:p>
        </w:tc>
        <w:tc>
          <w:tcPr>
            <w:tcW w:w="1180" w:type="dxa"/>
            <w:tcBorders>
              <w:top w:val="nil"/>
              <w:left w:val="nil"/>
              <w:bottom w:val="nil"/>
              <w:right w:val="nil"/>
            </w:tcBorders>
            <w:shd w:val="clear" w:color="000000" w:fill="D9D9D9"/>
            <w:vAlign w:val="center"/>
            <w:hideMark/>
          </w:tcPr>
          <w:p w14:paraId="5AF4EA99" w14:textId="77777777" w:rsidR="00F110E7" w:rsidRPr="009D1DBB" w:rsidRDefault="00F110E7" w:rsidP="0033392E">
            <w:pPr>
              <w:jc w:val="right"/>
              <w:rPr>
                <w:color w:val="313231"/>
                <w:sz w:val="20"/>
                <w:szCs w:val="20"/>
              </w:rPr>
            </w:pPr>
            <w:r w:rsidRPr="009D1DBB">
              <w:rPr>
                <w:color w:val="313231"/>
                <w:sz w:val="20"/>
                <w:szCs w:val="20"/>
              </w:rPr>
              <w:t>-2,786.3</w:t>
            </w:r>
          </w:p>
        </w:tc>
        <w:tc>
          <w:tcPr>
            <w:tcW w:w="1180" w:type="dxa"/>
            <w:tcBorders>
              <w:top w:val="nil"/>
              <w:left w:val="nil"/>
              <w:bottom w:val="nil"/>
              <w:right w:val="nil"/>
            </w:tcBorders>
            <w:shd w:val="clear" w:color="auto" w:fill="auto"/>
            <w:vAlign w:val="center"/>
            <w:hideMark/>
          </w:tcPr>
          <w:p w14:paraId="00D8DC15" w14:textId="77777777" w:rsidR="00F110E7" w:rsidRPr="009D1DBB" w:rsidRDefault="00F110E7" w:rsidP="0033392E">
            <w:pPr>
              <w:jc w:val="right"/>
              <w:rPr>
                <w:color w:val="313231"/>
                <w:sz w:val="20"/>
                <w:szCs w:val="20"/>
              </w:rPr>
            </w:pPr>
            <w:r w:rsidRPr="009D1DBB">
              <w:rPr>
                <w:color w:val="313231"/>
                <w:sz w:val="20"/>
                <w:szCs w:val="20"/>
              </w:rPr>
              <w:t>-245.7</w:t>
            </w:r>
          </w:p>
        </w:tc>
        <w:tc>
          <w:tcPr>
            <w:tcW w:w="1180" w:type="dxa"/>
            <w:tcBorders>
              <w:top w:val="nil"/>
              <w:left w:val="nil"/>
              <w:bottom w:val="nil"/>
              <w:right w:val="nil"/>
            </w:tcBorders>
            <w:shd w:val="clear" w:color="000000" w:fill="D9D9D9"/>
            <w:vAlign w:val="center"/>
            <w:hideMark/>
          </w:tcPr>
          <w:p w14:paraId="1A7FC5B5" w14:textId="77777777" w:rsidR="00F110E7" w:rsidRPr="009D1DBB" w:rsidRDefault="00F110E7" w:rsidP="0033392E">
            <w:pPr>
              <w:jc w:val="right"/>
              <w:rPr>
                <w:color w:val="313231"/>
                <w:sz w:val="20"/>
                <w:szCs w:val="20"/>
              </w:rPr>
            </w:pPr>
            <w:r w:rsidRPr="009D1DBB">
              <w:rPr>
                <w:color w:val="313231"/>
                <w:sz w:val="20"/>
                <w:szCs w:val="20"/>
              </w:rPr>
              <w:t>-266.1</w:t>
            </w:r>
          </w:p>
        </w:tc>
        <w:tc>
          <w:tcPr>
            <w:tcW w:w="1180" w:type="dxa"/>
            <w:tcBorders>
              <w:top w:val="nil"/>
              <w:left w:val="nil"/>
              <w:bottom w:val="nil"/>
              <w:right w:val="nil"/>
            </w:tcBorders>
            <w:shd w:val="clear" w:color="auto" w:fill="auto"/>
            <w:vAlign w:val="center"/>
            <w:hideMark/>
          </w:tcPr>
          <w:p w14:paraId="32D06D73" w14:textId="77777777" w:rsidR="00F110E7" w:rsidRPr="009D1DBB" w:rsidRDefault="00F110E7" w:rsidP="0033392E">
            <w:pPr>
              <w:jc w:val="right"/>
              <w:rPr>
                <w:color w:val="313231"/>
                <w:sz w:val="20"/>
                <w:szCs w:val="20"/>
              </w:rPr>
            </w:pPr>
            <w:r w:rsidRPr="009D1DBB">
              <w:rPr>
                <w:color w:val="313231"/>
                <w:sz w:val="20"/>
                <w:szCs w:val="20"/>
              </w:rPr>
              <w:t>-1,852.4</w:t>
            </w:r>
          </w:p>
        </w:tc>
        <w:tc>
          <w:tcPr>
            <w:tcW w:w="1180" w:type="dxa"/>
            <w:tcBorders>
              <w:top w:val="nil"/>
              <w:left w:val="nil"/>
              <w:bottom w:val="nil"/>
              <w:right w:val="nil"/>
            </w:tcBorders>
            <w:shd w:val="clear" w:color="000000" w:fill="D9D9D9"/>
            <w:vAlign w:val="center"/>
            <w:hideMark/>
          </w:tcPr>
          <w:p w14:paraId="010398B4" w14:textId="77777777" w:rsidR="00F110E7" w:rsidRPr="009D1DBB" w:rsidRDefault="00F110E7" w:rsidP="0033392E">
            <w:pPr>
              <w:jc w:val="right"/>
              <w:rPr>
                <w:color w:val="313231"/>
                <w:sz w:val="20"/>
                <w:szCs w:val="20"/>
              </w:rPr>
            </w:pPr>
            <w:r w:rsidRPr="009D1DBB">
              <w:rPr>
                <w:color w:val="313231"/>
                <w:sz w:val="20"/>
                <w:szCs w:val="20"/>
              </w:rPr>
              <w:t>-2,434.1</w:t>
            </w:r>
          </w:p>
        </w:tc>
        <w:tc>
          <w:tcPr>
            <w:tcW w:w="1180" w:type="dxa"/>
            <w:tcBorders>
              <w:top w:val="nil"/>
              <w:left w:val="nil"/>
              <w:bottom w:val="nil"/>
              <w:right w:val="nil"/>
            </w:tcBorders>
            <w:shd w:val="clear" w:color="auto" w:fill="auto"/>
            <w:vAlign w:val="center"/>
            <w:hideMark/>
          </w:tcPr>
          <w:p w14:paraId="0205EAE7" w14:textId="77777777" w:rsidR="00F110E7" w:rsidRPr="009D1DBB" w:rsidRDefault="00F110E7" w:rsidP="0033392E">
            <w:pPr>
              <w:jc w:val="right"/>
              <w:rPr>
                <w:color w:val="313231"/>
                <w:sz w:val="20"/>
                <w:szCs w:val="20"/>
              </w:rPr>
            </w:pPr>
            <w:r w:rsidRPr="009D1DBB">
              <w:rPr>
                <w:color w:val="313231"/>
                <w:sz w:val="20"/>
                <w:szCs w:val="20"/>
              </w:rPr>
              <w:t>-4,754.5</w:t>
            </w:r>
          </w:p>
        </w:tc>
        <w:tc>
          <w:tcPr>
            <w:tcW w:w="1180" w:type="dxa"/>
            <w:tcBorders>
              <w:top w:val="nil"/>
              <w:left w:val="nil"/>
              <w:bottom w:val="nil"/>
              <w:right w:val="nil"/>
            </w:tcBorders>
            <w:shd w:val="clear" w:color="000000" w:fill="D9D9D9"/>
            <w:vAlign w:val="center"/>
            <w:hideMark/>
          </w:tcPr>
          <w:p w14:paraId="38114FE9" w14:textId="77777777" w:rsidR="00F110E7" w:rsidRPr="009D1DBB" w:rsidRDefault="00F110E7" w:rsidP="0033392E">
            <w:pPr>
              <w:jc w:val="right"/>
              <w:rPr>
                <w:color w:val="313231"/>
                <w:sz w:val="20"/>
                <w:szCs w:val="20"/>
              </w:rPr>
            </w:pPr>
            <w:r w:rsidRPr="009D1DBB">
              <w:rPr>
                <w:color w:val="313231"/>
                <w:sz w:val="20"/>
                <w:szCs w:val="20"/>
              </w:rPr>
              <w:t>-5,486.6</w:t>
            </w:r>
          </w:p>
        </w:tc>
      </w:tr>
      <w:tr w:rsidR="00F110E7" w14:paraId="6AA4D32F" w14:textId="77777777" w:rsidTr="0033392E">
        <w:trPr>
          <w:trHeight w:val="510"/>
        </w:trPr>
        <w:tc>
          <w:tcPr>
            <w:tcW w:w="4200" w:type="dxa"/>
            <w:tcBorders>
              <w:top w:val="nil"/>
              <w:left w:val="single" w:sz="8" w:space="0" w:color="FFFFFF"/>
              <w:bottom w:val="nil"/>
              <w:right w:val="nil"/>
            </w:tcBorders>
            <w:shd w:val="clear" w:color="auto" w:fill="auto"/>
            <w:vAlign w:val="center"/>
            <w:hideMark/>
          </w:tcPr>
          <w:p w14:paraId="514A8167" w14:textId="77777777" w:rsidR="00F110E7" w:rsidRPr="009D1DBB" w:rsidRDefault="00F110E7" w:rsidP="0033392E">
            <w:pPr>
              <w:rPr>
                <w:color w:val="313231"/>
                <w:sz w:val="20"/>
                <w:szCs w:val="20"/>
              </w:rPr>
            </w:pPr>
            <w:r w:rsidRPr="009D1DBB">
              <w:rPr>
                <w:color w:val="313231"/>
                <w:sz w:val="20"/>
                <w:szCs w:val="20"/>
              </w:rPr>
              <w:t>Other income (incl. fares and charges)</w:t>
            </w:r>
          </w:p>
        </w:tc>
        <w:tc>
          <w:tcPr>
            <w:tcW w:w="1180" w:type="dxa"/>
            <w:tcBorders>
              <w:top w:val="nil"/>
              <w:left w:val="nil"/>
              <w:bottom w:val="nil"/>
              <w:right w:val="nil"/>
            </w:tcBorders>
            <w:shd w:val="clear" w:color="auto" w:fill="auto"/>
            <w:vAlign w:val="center"/>
            <w:hideMark/>
          </w:tcPr>
          <w:p w14:paraId="32533911" w14:textId="77777777" w:rsidR="00F110E7" w:rsidRPr="009D1DBB" w:rsidRDefault="00F110E7" w:rsidP="0033392E">
            <w:pPr>
              <w:jc w:val="right"/>
              <w:rPr>
                <w:color w:val="313231"/>
                <w:sz w:val="20"/>
                <w:szCs w:val="20"/>
              </w:rPr>
            </w:pPr>
            <w:r w:rsidRPr="009D1DBB">
              <w:rPr>
                <w:color w:val="313231"/>
                <w:sz w:val="20"/>
                <w:szCs w:val="20"/>
              </w:rPr>
              <w:t>-278.5</w:t>
            </w:r>
          </w:p>
        </w:tc>
        <w:tc>
          <w:tcPr>
            <w:tcW w:w="1180" w:type="dxa"/>
            <w:tcBorders>
              <w:top w:val="nil"/>
              <w:left w:val="nil"/>
              <w:bottom w:val="nil"/>
              <w:right w:val="nil"/>
            </w:tcBorders>
            <w:shd w:val="clear" w:color="000000" w:fill="D9D9D9"/>
            <w:vAlign w:val="center"/>
            <w:hideMark/>
          </w:tcPr>
          <w:p w14:paraId="3DC10330" w14:textId="77777777" w:rsidR="00F110E7" w:rsidRPr="009D1DBB" w:rsidRDefault="00F110E7" w:rsidP="0033392E">
            <w:pPr>
              <w:jc w:val="right"/>
              <w:rPr>
                <w:color w:val="313231"/>
                <w:sz w:val="20"/>
                <w:szCs w:val="20"/>
              </w:rPr>
            </w:pPr>
            <w:r w:rsidRPr="009D1DBB">
              <w:rPr>
                <w:color w:val="313231"/>
                <w:sz w:val="20"/>
                <w:szCs w:val="20"/>
              </w:rPr>
              <w:t>-280.0</w:t>
            </w:r>
          </w:p>
        </w:tc>
        <w:tc>
          <w:tcPr>
            <w:tcW w:w="1180" w:type="dxa"/>
            <w:tcBorders>
              <w:top w:val="nil"/>
              <w:left w:val="nil"/>
              <w:bottom w:val="nil"/>
              <w:right w:val="nil"/>
            </w:tcBorders>
            <w:shd w:val="clear" w:color="auto" w:fill="auto"/>
            <w:vAlign w:val="center"/>
            <w:hideMark/>
          </w:tcPr>
          <w:p w14:paraId="30A42340" w14:textId="77777777" w:rsidR="00F110E7" w:rsidRPr="009D1DBB" w:rsidRDefault="00F110E7" w:rsidP="0033392E">
            <w:pPr>
              <w:jc w:val="right"/>
              <w:rPr>
                <w:color w:val="313231"/>
                <w:sz w:val="20"/>
                <w:szCs w:val="20"/>
              </w:rPr>
            </w:pPr>
            <w:r w:rsidRPr="009D1DBB">
              <w:rPr>
                <w:color w:val="313231"/>
                <w:sz w:val="20"/>
                <w:szCs w:val="20"/>
              </w:rPr>
              <w:t>-38.3</w:t>
            </w:r>
          </w:p>
        </w:tc>
        <w:tc>
          <w:tcPr>
            <w:tcW w:w="1180" w:type="dxa"/>
            <w:tcBorders>
              <w:top w:val="nil"/>
              <w:left w:val="nil"/>
              <w:bottom w:val="nil"/>
              <w:right w:val="nil"/>
            </w:tcBorders>
            <w:shd w:val="clear" w:color="000000" w:fill="D9D9D9"/>
            <w:vAlign w:val="center"/>
            <w:hideMark/>
          </w:tcPr>
          <w:p w14:paraId="23E92DC9" w14:textId="77777777" w:rsidR="00F110E7" w:rsidRPr="009D1DBB" w:rsidRDefault="00F110E7" w:rsidP="0033392E">
            <w:pPr>
              <w:jc w:val="right"/>
              <w:rPr>
                <w:color w:val="313231"/>
                <w:sz w:val="20"/>
                <w:szCs w:val="20"/>
              </w:rPr>
            </w:pPr>
            <w:r w:rsidRPr="009D1DBB">
              <w:rPr>
                <w:color w:val="313231"/>
                <w:sz w:val="20"/>
                <w:szCs w:val="20"/>
              </w:rPr>
              <w:t>-39.8</w:t>
            </w:r>
          </w:p>
        </w:tc>
        <w:tc>
          <w:tcPr>
            <w:tcW w:w="1180" w:type="dxa"/>
            <w:tcBorders>
              <w:top w:val="nil"/>
              <w:left w:val="nil"/>
              <w:bottom w:val="nil"/>
              <w:right w:val="nil"/>
            </w:tcBorders>
            <w:shd w:val="clear" w:color="auto" w:fill="auto"/>
            <w:vAlign w:val="center"/>
            <w:hideMark/>
          </w:tcPr>
          <w:p w14:paraId="438E4233" w14:textId="77777777" w:rsidR="00F110E7" w:rsidRPr="009D1DBB" w:rsidRDefault="00F110E7" w:rsidP="0033392E">
            <w:pPr>
              <w:jc w:val="right"/>
              <w:rPr>
                <w:color w:val="313231"/>
                <w:sz w:val="20"/>
                <w:szCs w:val="20"/>
              </w:rPr>
            </w:pPr>
            <w:r w:rsidRPr="009D1DBB">
              <w:rPr>
                <w:color w:val="313231"/>
                <w:sz w:val="20"/>
                <w:szCs w:val="20"/>
              </w:rPr>
              <w:t>-6,205.3</w:t>
            </w:r>
          </w:p>
        </w:tc>
        <w:tc>
          <w:tcPr>
            <w:tcW w:w="1180" w:type="dxa"/>
            <w:tcBorders>
              <w:top w:val="nil"/>
              <w:left w:val="nil"/>
              <w:bottom w:val="nil"/>
              <w:right w:val="nil"/>
            </w:tcBorders>
            <w:shd w:val="clear" w:color="000000" w:fill="D9D9D9"/>
            <w:vAlign w:val="center"/>
            <w:hideMark/>
          </w:tcPr>
          <w:p w14:paraId="438E719F" w14:textId="77777777" w:rsidR="00F110E7" w:rsidRPr="009D1DBB" w:rsidRDefault="00F110E7" w:rsidP="0033392E">
            <w:pPr>
              <w:jc w:val="right"/>
              <w:rPr>
                <w:color w:val="313231"/>
                <w:sz w:val="20"/>
                <w:szCs w:val="20"/>
              </w:rPr>
            </w:pPr>
            <w:r w:rsidRPr="009D1DBB">
              <w:rPr>
                <w:color w:val="313231"/>
                <w:sz w:val="20"/>
                <w:szCs w:val="20"/>
              </w:rPr>
              <w:t>-6,467.5</w:t>
            </w:r>
          </w:p>
        </w:tc>
        <w:tc>
          <w:tcPr>
            <w:tcW w:w="1180" w:type="dxa"/>
            <w:tcBorders>
              <w:top w:val="nil"/>
              <w:left w:val="nil"/>
              <w:bottom w:val="nil"/>
              <w:right w:val="nil"/>
            </w:tcBorders>
            <w:shd w:val="clear" w:color="auto" w:fill="auto"/>
            <w:vAlign w:val="center"/>
            <w:hideMark/>
          </w:tcPr>
          <w:p w14:paraId="4AA9CB76" w14:textId="77777777" w:rsidR="00F110E7" w:rsidRPr="009D1DBB" w:rsidRDefault="00F110E7" w:rsidP="0033392E">
            <w:pPr>
              <w:jc w:val="right"/>
              <w:rPr>
                <w:color w:val="313231"/>
                <w:sz w:val="20"/>
                <w:szCs w:val="20"/>
              </w:rPr>
            </w:pPr>
            <w:r w:rsidRPr="009D1DBB">
              <w:rPr>
                <w:color w:val="313231"/>
                <w:sz w:val="20"/>
                <w:szCs w:val="20"/>
              </w:rPr>
              <w:t>-6,522.1</w:t>
            </w:r>
          </w:p>
        </w:tc>
        <w:tc>
          <w:tcPr>
            <w:tcW w:w="1180" w:type="dxa"/>
            <w:tcBorders>
              <w:top w:val="nil"/>
              <w:left w:val="nil"/>
              <w:bottom w:val="nil"/>
              <w:right w:val="nil"/>
            </w:tcBorders>
            <w:shd w:val="clear" w:color="000000" w:fill="D9D9D9"/>
            <w:vAlign w:val="center"/>
            <w:hideMark/>
          </w:tcPr>
          <w:p w14:paraId="6EEF3A84" w14:textId="77777777" w:rsidR="00F110E7" w:rsidRPr="009D1DBB" w:rsidRDefault="00F110E7" w:rsidP="0033392E">
            <w:pPr>
              <w:jc w:val="right"/>
              <w:rPr>
                <w:color w:val="313231"/>
                <w:sz w:val="20"/>
                <w:szCs w:val="20"/>
              </w:rPr>
            </w:pPr>
            <w:r w:rsidRPr="009D1DBB">
              <w:rPr>
                <w:color w:val="313231"/>
                <w:sz w:val="20"/>
                <w:szCs w:val="20"/>
              </w:rPr>
              <w:t>-6,787.3</w:t>
            </w:r>
          </w:p>
        </w:tc>
      </w:tr>
      <w:tr w:rsidR="00F110E7" w14:paraId="3F25009F" w14:textId="77777777" w:rsidTr="0033392E">
        <w:trPr>
          <w:trHeight w:val="510"/>
        </w:trPr>
        <w:tc>
          <w:tcPr>
            <w:tcW w:w="4200" w:type="dxa"/>
            <w:tcBorders>
              <w:top w:val="nil"/>
              <w:left w:val="single" w:sz="8" w:space="0" w:color="FFFFFF"/>
              <w:bottom w:val="nil"/>
              <w:right w:val="nil"/>
            </w:tcBorders>
            <w:shd w:val="clear" w:color="auto" w:fill="auto"/>
            <w:vAlign w:val="center"/>
            <w:hideMark/>
          </w:tcPr>
          <w:p w14:paraId="5046AE61" w14:textId="77777777" w:rsidR="00F110E7" w:rsidRPr="009D1DBB" w:rsidRDefault="00F110E7" w:rsidP="0033392E">
            <w:pPr>
              <w:rPr>
                <w:b/>
                <w:bCs/>
                <w:color w:val="313231"/>
                <w:sz w:val="20"/>
                <w:szCs w:val="20"/>
              </w:rPr>
            </w:pPr>
            <w:r w:rsidRPr="009D1DBB">
              <w:rPr>
                <w:b/>
                <w:bCs/>
                <w:color w:val="313231"/>
                <w:sz w:val="20"/>
                <w:szCs w:val="20"/>
              </w:rPr>
              <w:t>Net expenditure</w:t>
            </w:r>
          </w:p>
        </w:tc>
        <w:tc>
          <w:tcPr>
            <w:tcW w:w="1180" w:type="dxa"/>
            <w:tcBorders>
              <w:top w:val="nil"/>
              <w:left w:val="nil"/>
              <w:bottom w:val="nil"/>
              <w:right w:val="nil"/>
            </w:tcBorders>
            <w:shd w:val="clear" w:color="auto" w:fill="auto"/>
            <w:vAlign w:val="center"/>
            <w:hideMark/>
          </w:tcPr>
          <w:p w14:paraId="429CA631" w14:textId="77777777" w:rsidR="00F110E7" w:rsidRPr="009D1DBB" w:rsidRDefault="00F110E7" w:rsidP="0033392E">
            <w:pPr>
              <w:jc w:val="right"/>
              <w:rPr>
                <w:b/>
                <w:bCs/>
                <w:color w:val="313231"/>
                <w:sz w:val="20"/>
                <w:szCs w:val="20"/>
              </w:rPr>
            </w:pPr>
            <w:r w:rsidRPr="009D1DBB">
              <w:rPr>
                <w:b/>
                <w:bCs/>
                <w:color w:val="313231"/>
                <w:sz w:val="20"/>
                <w:szCs w:val="20"/>
              </w:rPr>
              <w:t>621.8</w:t>
            </w:r>
          </w:p>
        </w:tc>
        <w:tc>
          <w:tcPr>
            <w:tcW w:w="1180" w:type="dxa"/>
            <w:tcBorders>
              <w:top w:val="nil"/>
              <w:left w:val="nil"/>
              <w:bottom w:val="nil"/>
              <w:right w:val="nil"/>
            </w:tcBorders>
            <w:shd w:val="clear" w:color="000000" w:fill="D9D9D9"/>
            <w:vAlign w:val="center"/>
            <w:hideMark/>
          </w:tcPr>
          <w:p w14:paraId="0EA06F4F" w14:textId="77777777" w:rsidR="00F110E7" w:rsidRPr="009D1DBB" w:rsidRDefault="00F110E7" w:rsidP="0033392E">
            <w:pPr>
              <w:jc w:val="right"/>
              <w:rPr>
                <w:b/>
                <w:bCs/>
                <w:color w:val="313231"/>
                <w:sz w:val="20"/>
                <w:szCs w:val="20"/>
              </w:rPr>
            </w:pPr>
            <w:r w:rsidRPr="009D1DBB">
              <w:rPr>
                <w:b/>
                <w:bCs/>
                <w:color w:val="313231"/>
                <w:sz w:val="20"/>
                <w:szCs w:val="20"/>
              </w:rPr>
              <w:t>819.0</w:t>
            </w:r>
          </w:p>
        </w:tc>
        <w:tc>
          <w:tcPr>
            <w:tcW w:w="1180" w:type="dxa"/>
            <w:tcBorders>
              <w:top w:val="nil"/>
              <w:left w:val="nil"/>
              <w:bottom w:val="nil"/>
              <w:right w:val="nil"/>
            </w:tcBorders>
            <w:shd w:val="clear" w:color="auto" w:fill="auto"/>
            <w:vAlign w:val="center"/>
            <w:hideMark/>
          </w:tcPr>
          <w:p w14:paraId="3BDAE472" w14:textId="77777777" w:rsidR="00F110E7" w:rsidRPr="009D1DBB" w:rsidRDefault="00F110E7" w:rsidP="0033392E">
            <w:pPr>
              <w:jc w:val="right"/>
              <w:rPr>
                <w:b/>
                <w:bCs/>
                <w:color w:val="313231"/>
                <w:sz w:val="20"/>
                <w:szCs w:val="20"/>
              </w:rPr>
            </w:pPr>
            <w:r w:rsidRPr="009D1DBB">
              <w:rPr>
                <w:b/>
                <w:bCs/>
                <w:color w:val="313231"/>
                <w:sz w:val="20"/>
                <w:szCs w:val="20"/>
              </w:rPr>
              <w:t>166.3</w:t>
            </w:r>
          </w:p>
        </w:tc>
        <w:tc>
          <w:tcPr>
            <w:tcW w:w="1180" w:type="dxa"/>
            <w:tcBorders>
              <w:top w:val="nil"/>
              <w:left w:val="nil"/>
              <w:bottom w:val="nil"/>
              <w:right w:val="nil"/>
            </w:tcBorders>
            <w:shd w:val="clear" w:color="000000" w:fill="D9D9D9"/>
            <w:vAlign w:val="center"/>
            <w:hideMark/>
          </w:tcPr>
          <w:p w14:paraId="577AAC79" w14:textId="77777777" w:rsidR="00F110E7" w:rsidRPr="009D1DBB" w:rsidRDefault="00F110E7" w:rsidP="0033392E">
            <w:pPr>
              <w:jc w:val="right"/>
              <w:rPr>
                <w:b/>
                <w:bCs/>
                <w:color w:val="313231"/>
                <w:sz w:val="20"/>
                <w:szCs w:val="20"/>
              </w:rPr>
            </w:pPr>
            <w:r w:rsidRPr="009D1DBB">
              <w:rPr>
                <w:b/>
                <w:bCs/>
                <w:color w:val="313231"/>
                <w:sz w:val="20"/>
                <w:szCs w:val="20"/>
              </w:rPr>
              <w:t>183.6</w:t>
            </w:r>
          </w:p>
        </w:tc>
        <w:tc>
          <w:tcPr>
            <w:tcW w:w="1180" w:type="dxa"/>
            <w:tcBorders>
              <w:top w:val="nil"/>
              <w:left w:val="nil"/>
              <w:bottom w:val="nil"/>
              <w:right w:val="nil"/>
            </w:tcBorders>
            <w:shd w:val="clear" w:color="auto" w:fill="auto"/>
            <w:vAlign w:val="center"/>
            <w:hideMark/>
          </w:tcPr>
          <w:p w14:paraId="18378D9A" w14:textId="77777777" w:rsidR="00F110E7" w:rsidRPr="009D1DBB" w:rsidRDefault="00F110E7" w:rsidP="0033392E">
            <w:pPr>
              <w:jc w:val="right"/>
              <w:rPr>
                <w:b/>
                <w:bCs/>
                <w:color w:val="313231"/>
                <w:sz w:val="20"/>
                <w:szCs w:val="20"/>
              </w:rPr>
            </w:pPr>
            <w:r w:rsidRPr="009D1DBB">
              <w:rPr>
                <w:b/>
                <w:bCs/>
                <w:color w:val="313231"/>
                <w:sz w:val="20"/>
                <w:szCs w:val="20"/>
              </w:rPr>
              <w:t>167.9</w:t>
            </w:r>
          </w:p>
        </w:tc>
        <w:tc>
          <w:tcPr>
            <w:tcW w:w="1180" w:type="dxa"/>
            <w:tcBorders>
              <w:top w:val="nil"/>
              <w:left w:val="nil"/>
              <w:bottom w:val="nil"/>
              <w:right w:val="nil"/>
            </w:tcBorders>
            <w:shd w:val="clear" w:color="000000" w:fill="D9D9D9"/>
            <w:vAlign w:val="center"/>
            <w:hideMark/>
          </w:tcPr>
          <w:p w14:paraId="26401926" w14:textId="77777777" w:rsidR="00F110E7" w:rsidRPr="009D1DBB" w:rsidRDefault="00F110E7" w:rsidP="0033392E">
            <w:pPr>
              <w:jc w:val="right"/>
              <w:rPr>
                <w:b/>
                <w:bCs/>
                <w:color w:val="313231"/>
                <w:sz w:val="20"/>
                <w:szCs w:val="20"/>
              </w:rPr>
            </w:pPr>
            <w:r w:rsidRPr="009D1DBB">
              <w:rPr>
                <w:b/>
                <w:bCs/>
                <w:color w:val="313231"/>
                <w:sz w:val="20"/>
                <w:szCs w:val="20"/>
              </w:rPr>
              <w:t>89.5</w:t>
            </w:r>
          </w:p>
        </w:tc>
        <w:tc>
          <w:tcPr>
            <w:tcW w:w="1180" w:type="dxa"/>
            <w:tcBorders>
              <w:top w:val="nil"/>
              <w:left w:val="nil"/>
              <w:bottom w:val="nil"/>
              <w:right w:val="nil"/>
            </w:tcBorders>
            <w:shd w:val="clear" w:color="auto" w:fill="auto"/>
            <w:vAlign w:val="center"/>
            <w:hideMark/>
          </w:tcPr>
          <w:p w14:paraId="0411963C" w14:textId="77777777" w:rsidR="00F110E7" w:rsidRPr="009D1DBB" w:rsidRDefault="00F110E7" w:rsidP="0033392E">
            <w:pPr>
              <w:jc w:val="right"/>
              <w:rPr>
                <w:b/>
                <w:bCs/>
                <w:color w:val="313231"/>
                <w:sz w:val="20"/>
                <w:szCs w:val="20"/>
              </w:rPr>
            </w:pPr>
            <w:r w:rsidRPr="009D1DBB">
              <w:rPr>
                <w:b/>
                <w:bCs/>
                <w:color w:val="313231"/>
                <w:sz w:val="20"/>
                <w:szCs w:val="20"/>
              </w:rPr>
              <w:t>956.0</w:t>
            </w:r>
          </w:p>
        </w:tc>
        <w:tc>
          <w:tcPr>
            <w:tcW w:w="1180" w:type="dxa"/>
            <w:tcBorders>
              <w:top w:val="nil"/>
              <w:left w:val="nil"/>
              <w:bottom w:val="nil"/>
              <w:right w:val="nil"/>
            </w:tcBorders>
            <w:shd w:val="clear" w:color="000000" w:fill="D9D9D9"/>
            <w:vAlign w:val="center"/>
            <w:hideMark/>
          </w:tcPr>
          <w:p w14:paraId="31BD1D97" w14:textId="77777777" w:rsidR="00F110E7" w:rsidRPr="009D1DBB" w:rsidRDefault="00F110E7" w:rsidP="0033392E">
            <w:pPr>
              <w:jc w:val="right"/>
              <w:rPr>
                <w:b/>
                <w:bCs/>
                <w:color w:val="313231"/>
                <w:sz w:val="20"/>
                <w:szCs w:val="20"/>
              </w:rPr>
            </w:pPr>
            <w:r w:rsidRPr="009D1DBB">
              <w:rPr>
                <w:b/>
                <w:bCs/>
                <w:color w:val="313231"/>
                <w:sz w:val="20"/>
                <w:szCs w:val="20"/>
              </w:rPr>
              <w:t>1,092.0</w:t>
            </w:r>
          </w:p>
        </w:tc>
      </w:tr>
      <w:tr w:rsidR="00F110E7" w14:paraId="6D76398D" w14:textId="77777777" w:rsidTr="0033392E">
        <w:trPr>
          <w:trHeight w:val="510"/>
        </w:trPr>
        <w:tc>
          <w:tcPr>
            <w:tcW w:w="4200" w:type="dxa"/>
            <w:tcBorders>
              <w:top w:val="nil"/>
              <w:left w:val="single" w:sz="8" w:space="0" w:color="FFFFFF"/>
              <w:bottom w:val="single" w:sz="8" w:space="0" w:color="A5A6A5"/>
              <w:right w:val="nil"/>
            </w:tcBorders>
            <w:shd w:val="clear" w:color="auto" w:fill="auto"/>
            <w:vAlign w:val="center"/>
            <w:hideMark/>
          </w:tcPr>
          <w:p w14:paraId="0995BAA4" w14:textId="77777777" w:rsidR="00F110E7" w:rsidRPr="009D1DBB" w:rsidRDefault="00F110E7" w:rsidP="0033392E">
            <w:pPr>
              <w:rPr>
                <w:color w:val="313231"/>
                <w:sz w:val="20"/>
                <w:szCs w:val="20"/>
              </w:rPr>
            </w:pPr>
            <w:r w:rsidRPr="009D1DBB">
              <w:rPr>
                <w:color w:val="313231"/>
                <w:sz w:val="20"/>
                <w:szCs w:val="20"/>
              </w:rPr>
              <w:t>Change to level of reserves</w:t>
            </w:r>
          </w:p>
        </w:tc>
        <w:tc>
          <w:tcPr>
            <w:tcW w:w="1180" w:type="dxa"/>
            <w:tcBorders>
              <w:top w:val="nil"/>
              <w:left w:val="nil"/>
              <w:bottom w:val="single" w:sz="8" w:space="0" w:color="A5A6A5"/>
              <w:right w:val="nil"/>
            </w:tcBorders>
            <w:shd w:val="clear" w:color="auto" w:fill="auto"/>
            <w:vAlign w:val="center"/>
            <w:hideMark/>
          </w:tcPr>
          <w:p w14:paraId="5025E81D" w14:textId="77777777" w:rsidR="00F110E7" w:rsidRPr="009D1DBB" w:rsidRDefault="00F110E7" w:rsidP="0033392E">
            <w:pPr>
              <w:jc w:val="right"/>
              <w:rPr>
                <w:color w:val="313231"/>
                <w:sz w:val="20"/>
                <w:szCs w:val="20"/>
              </w:rPr>
            </w:pPr>
            <w:r w:rsidRPr="009D1DBB">
              <w:rPr>
                <w:color w:val="313231"/>
                <w:sz w:val="20"/>
                <w:szCs w:val="20"/>
              </w:rPr>
              <w:t>103.4</w:t>
            </w:r>
          </w:p>
        </w:tc>
        <w:tc>
          <w:tcPr>
            <w:tcW w:w="1180" w:type="dxa"/>
            <w:tcBorders>
              <w:top w:val="nil"/>
              <w:left w:val="nil"/>
              <w:bottom w:val="single" w:sz="8" w:space="0" w:color="A5A6A5"/>
              <w:right w:val="nil"/>
            </w:tcBorders>
            <w:shd w:val="clear" w:color="000000" w:fill="D9D9D9"/>
            <w:vAlign w:val="center"/>
            <w:hideMark/>
          </w:tcPr>
          <w:p w14:paraId="594685C3" w14:textId="77777777" w:rsidR="00F110E7" w:rsidRPr="009D1DBB" w:rsidRDefault="00F110E7" w:rsidP="0033392E">
            <w:pPr>
              <w:jc w:val="right"/>
              <w:rPr>
                <w:color w:val="313231"/>
                <w:sz w:val="20"/>
                <w:szCs w:val="20"/>
              </w:rPr>
            </w:pPr>
            <w:r w:rsidRPr="009D1DBB">
              <w:rPr>
                <w:color w:val="313231"/>
                <w:sz w:val="20"/>
                <w:szCs w:val="20"/>
              </w:rPr>
              <w:t>-51.9</w:t>
            </w:r>
          </w:p>
        </w:tc>
        <w:tc>
          <w:tcPr>
            <w:tcW w:w="1180" w:type="dxa"/>
            <w:tcBorders>
              <w:top w:val="nil"/>
              <w:left w:val="nil"/>
              <w:bottom w:val="single" w:sz="8" w:space="0" w:color="A5A6A5"/>
              <w:right w:val="nil"/>
            </w:tcBorders>
            <w:shd w:val="clear" w:color="auto" w:fill="auto"/>
            <w:vAlign w:val="center"/>
            <w:hideMark/>
          </w:tcPr>
          <w:p w14:paraId="018672E5" w14:textId="77777777" w:rsidR="00F110E7" w:rsidRPr="009D1DBB" w:rsidRDefault="00F110E7" w:rsidP="0033392E">
            <w:pPr>
              <w:jc w:val="right"/>
              <w:rPr>
                <w:color w:val="313231"/>
                <w:sz w:val="20"/>
                <w:szCs w:val="20"/>
              </w:rPr>
            </w:pPr>
            <w:r w:rsidRPr="009D1DBB">
              <w:rPr>
                <w:color w:val="313231"/>
                <w:sz w:val="20"/>
                <w:szCs w:val="20"/>
              </w:rPr>
              <w:t>-7.1</w:t>
            </w:r>
          </w:p>
        </w:tc>
        <w:tc>
          <w:tcPr>
            <w:tcW w:w="1180" w:type="dxa"/>
            <w:tcBorders>
              <w:top w:val="nil"/>
              <w:left w:val="nil"/>
              <w:bottom w:val="single" w:sz="8" w:space="0" w:color="A5A6A5"/>
              <w:right w:val="nil"/>
            </w:tcBorders>
            <w:shd w:val="clear" w:color="000000" w:fill="D9D9D9"/>
            <w:vAlign w:val="center"/>
            <w:hideMark/>
          </w:tcPr>
          <w:p w14:paraId="1DF261A2" w14:textId="77777777" w:rsidR="00F110E7" w:rsidRPr="009D1DBB" w:rsidRDefault="00F110E7" w:rsidP="0033392E">
            <w:pPr>
              <w:jc w:val="right"/>
              <w:rPr>
                <w:color w:val="313231"/>
                <w:sz w:val="20"/>
                <w:szCs w:val="20"/>
              </w:rPr>
            </w:pPr>
            <w:r w:rsidRPr="009D1DBB">
              <w:rPr>
                <w:color w:val="313231"/>
                <w:sz w:val="20"/>
                <w:szCs w:val="20"/>
              </w:rPr>
              <w:t>-15.0</w:t>
            </w:r>
          </w:p>
        </w:tc>
        <w:tc>
          <w:tcPr>
            <w:tcW w:w="1180" w:type="dxa"/>
            <w:tcBorders>
              <w:top w:val="nil"/>
              <w:left w:val="nil"/>
              <w:bottom w:val="single" w:sz="8" w:space="0" w:color="A5A6A5"/>
              <w:right w:val="nil"/>
            </w:tcBorders>
            <w:shd w:val="clear" w:color="auto" w:fill="auto"/>
            <w:vAlign w:val="center"/>
            <w:hideMark/>
          </w:tcPr>
          <w:p w14:paraId="76983E4B" w14:textId="77777777" w:rsidR="00F110E7" w:rsidRPr="009D1DBB" w:rsidRDefault="00F110E7" w:rsidP="0033392E">
            <w:pPr>
              <w:jc w:val="right"/>
              <w:rPr>
                <w:color w:val="313231"/>
                <w:sz w:val="20"/>
                <w:szCs w:val="20"/>
              </w:rPr>
            </w:pPr>
            <w:r w:rsidRPr="009D1DBB">
              <w:rPr>
                <w:color w:val="313231"/>
                <w:sz w:val="20"/>
                <w:szCs w:val="20"/>
              </w:rPr>
              <w:t>-91.7</w:t>
            </w:r>
          </w:p>
        </w:tc>
        <w:tc>
          <w:tcPr>
            <w:tcW w:w="1180" w:type="dxa"/>
            <w:tcBorders>
              <w:top w:val="nil"/>
              <w:left w:val="nil"/>
              <w:bottom w:val="single" w:sz="8" w:space="0" w:color="A5A6A5"/>
              <w:right w:val="nil"/>
            </w:tcBorders>
            <w:shd w:val="clear" w:color="000000" w:fill="D9D9D9"/>
            <w:vAlign w:val="center"/>
            <w:hideMark/>
          </w:tcPr>
          <w:p w14:paraId="499AC2A9" w14:textId="77777777" w:rsidR="00F110E7" w:rsidRPr="009D1DBB" w:rsidRDefault="00F110E7" w:rsidP="0033392E">
            <w:pPr>
              <w:jc w:val="right"/>
              <w:rPr>
                <w:color w:val="313231"/>
                <w:sz w:val="20"/>
                <w:szCs w:val="20"/>
              </w:rPr>
            </w:pPr>
            <w:r w:rsidRPr="009D1DBB">
              <w:rPr>
                <w:color w:val="313231"/>
                <w:sz w:val="20"/>
                <w:szCs w:val="20"/>
              </w:rPr>
              <w:t>-14.2</w:t>
            </w:r>
          </w:p>
        </w:tc>
        <w:tc>
          <w:tcPr>
            <w:tcW w:w="1180" w:type="dxa"/>
            <w:tcBorders>
              <w:top w:val="nil"/>
              <w:left w:val="nil"/>
              <w:bottom w:val="single" w:sz="8" w:space="0" w:color="A5A6A5"/>
              <w:right w:val="nil"/>
            </w:tcBorders>
            <w:shd w:val="clear" w:color="auto" w:fill="auto"/>
            <w:vAlign w:val="center"/>
            <w:hideMark/>
          </w:tcPr>
          <w:p w14:paraId="512AB5EB" w14:textId="77777777" w:rsidR="00F110E7" w:rsidRPr="009D1DBB" w:rsidRDefault="00F110E7" w:rsidP="0033392E">
            <w:pPr>
              <w:jc w:val="right"/>
              <w:rPr>
                <w:color w:val="313231"/>
                <w:sz w:val="20"/>
                <w:szCs w:val="20"/>
              </w:rPr>
            </w:pPr>
            <w:r w:rsidRPr="009D1DBB">
              <w:rPr>
                <w:color w:val="313231"/>
                <w:sz w:val="20"/>
                <w:szCs w:val="20"/>
              </w:rPr>
              <w:t>4.6</w:t>
            </w:r>
          </w:p>
        </w:tc>
        <w:tc>
          <w:tcPr>
            <w:tcW w:w="1180" w:type="dxa"/>
            <w:tcBorders>
              <w:top w:val="nil"/>
              <w:left w:val="nil"/>
              <w:bottom w:val="single" w:sz="8" w:space="0" w:color="A5A6A5"/>
              <w:right w:val="nil"/>
            </w:tcBorders>
            <w:shd w:val="clear" w:color="000000" w:fill="D9D9D9"/>
            <w:vAlign w:val="center"/>
            <w:hideMark/>
          </w:tcPr>
          <w:p w14:paraId="6E91E11E" w14:textId="77777777" w:rsidR="00F110E7" w:rsidRPr="009D1DBB" w:rsidRDefault="00F110E7" w:rsidP="0033392E">
            <w:pPr>
              <w:jc w:val="right"/>
              <w:rPr>
                <w:color w:val="313231"/>
                <w:sz w:val="20"/>
                <w:szCs w:val="20"/>
              </w:rPr>
            </w:pPr>
            <w:r w:rsidRPr="009D1DBB">
              <w:rPr>
                <w:color w:val="313231"/>
                <w:sz w:val="20"/>
                <w:szCs w:val="20"/>
              </w:rPr>
              <w:t>-81.1</w:t>
            </w:r>
          </w:p>
        </w:tc>
      </w:tr>
      <w:tr w:rsidR="00F110E7" w:rsidRPr="00D73D33" w14:paraId="15152C7E" w14:textId="77777777" w:rsidTr="0033392E">
        <w:trPr>
          <w:trHeight w:val="510"/>
        </w:trPr>
        <w:tc>
          <w:tcPr>
            <w:tcW w:w="4200" w:type="dxa"/>
            <w:tcBorders>
              <w:top w:val="nil"/>
              <w:left w:val="single" w:sz="8" w:space="0" w:color="FFFFFF"/>
              <w:bottom w:val="single" w:sz="8" w:space="0" w:color="A5A6A5"/>
              <w:right w:val="nil"/>
            </w:tcBorders>
            <w:shd w:val="clear" w:color="000000" w:fill="FFFFFF"/>
            <w:vAlign w:val="center"/>
            <w:hideMark/>
          </w:tcPr>
          <w:p w14:paraId="6B8AC796" w14:textId="77777777" w:rsidR="00F110E7" w:rsidRPr="009D1DBB" w:rsidRDefault="00F110E7" w:rsidP="0033392E">
            <w:pPr>
              <w:rPr>
                <w:b/>
                <w:bCs/>
                <w:color w:val="313231"/>
                <w:sz w:val="20"/>
                <w:szCs w:val="20"/>
              </w:rPr>
            </w:pPr>
            <w:r w:rsidRPr="009D1DBB">
              <w:rPr>
                <w:b/>
                <w:bCs/>
                <w:color w:val="313231"/>
                <w:sz w:val="20"/>
                <w:szCs w:val="20"/>
              </w:rPr>
              <w:t>Council tax requirement (income)</w:t>
            </w:r>
          </w:p>
        </w:tc>
        <w:tc>
          <w:tcPr>
            <w:tcW w:w="1180" w:type="dxa"/>
            <w:tcBorders>
              <w:top w:val="nil"/>
              <w:left w:val="nil"/>
              <w:bottom w:val="single" w:sz="8" w:space="0" w:color="A5A6A5"/>
              <w:right w:val="nil"/>
            </w:tcBorders>
            <w:shd w:val="clear" w:color="auto" w:fill="auto"/>
            <w:vAlign w:val="center"/>
            <w:hideMark/>
          </w:tcPr>
          <w:p w14:paraId="4617BEF3" w14:textId="77777777" w:rsidR="00F110E7" w:rsidRPr="009D1DBB" w:rsidRDefault="00F110E7" w:rsidP="0033392E">
            <w:pPr>
              <w:jc w:val="right"/>
              <w:rPr>
                <w:b/>
                <w:bCs/>
                <w:color w:val="313231"/>
                <w:sz w:val="20"/>
                <w:szCs w:val="20"/>
              </w:rPr>
            </w:pPr>
            <w:r w:rsidRPr="009D1DBB">
              <w:rPr>
                <w:b/>
                <w:bCs/>
                <w:color w:val="313231"/>
                <w:sz w:val="20"/>
                <w:szCs w:val="20"/>
              </w:rPr>
              <w:t>725.2</w:t>
            </w:r>
          </w:p>
        </w:tc>
        <w:tc>
          <w:tcPr>
            <w:tcW w:w="1180" w:type="dxa"/>
            <w:tcBorders>
              <w:top w:val="nil"/>
              <w:left w:val="nil"/>
              <w:bottom w:val="single" w:sz="8" w:space="0" w:color="A5A6A5"/>
              <w:right w:val="nil"/>
            </w:tcBorders>
            <w:shd w:val="clear" w:color="000000" w:fill="D9D9D9"/>
            <w:vAlign w:val="center"/>
            <w:hideMark/>
          </w:tcPr>
          <w:p w14:paraId="18055B0E" w14:textId="77777777" w:rsidR="00F110E7" w:rsidRPr="009D1DBB" w:rsidRDefault="00F110E7" w:rsidP="0033392E">
            <w:pPr>
              <w:jc w:val="right"/>
              <w:rPr>
                <w:b/>
                <w:bCs/>
                <w:color w:val="313231"/>
                <w:sz w:val="20"/>
                <w:szCs w:val="20"/>
              </w:rPr>
            </w:pPr>
            <w:r w:rsidRPr="009D1DBB">
              <w:rPr>
                <w:b/>
                <w:bCs/>
                <w:color w:val="313231"/>
                <w:sz w:val="20"/>
                <w:szCs w:val="20"/>
              </w:rPr>
              <w:t>767.1</w:t>
            </w:r>
          </w:p>
        </w:tc>
        <w:tc>
          <w:tcPr>
            <w:tcW w:w="1180" w:type="dxa"/>
            <w:tcBorders>
              <w:top w:val="nil"/>
              <w:left w:val="nil"/>
              <w:bottom w:val="single" w:sz="8" w:space="0" w:color="A5A6A5"/>
              <w:right w:val="nil"/>
            </w:tcBorders>
            <w:shd w:val="clear" w:color="auto" w:fill="auto"/>
            <w:vAlign w:val="center"/>
            <w:hideMark/>
          </w:tcPr>
          <w:p w14:paraId="2082D558" w14:textId="77777777" w:rsidR="00F110E7" w:rsidRPr="009D1DBB" w:rsidRDefault="00F110E7" w:rsidP="0033392E">
            <w:pPr>
              <w:jc w:val="right"/>
              <w:rPr>
                <w:b/>
                <w:bCs/>
                <w:color w:val="313231"/>
                <w:sz w:val="20"/>
                <w:szCs w:val="20"/>
              </w:rPr>
            </w:pPr>
            <w:r w:rsidRPr="009D1DBB">
              <w:rPr>
                <w:b/>
                <w:bCs/>
                <w:color w:val="313231"/>
                <w:sz w:val="20"/>
                <w:szCs w:val="20"/>
              </w:rPr>
              <w:t>159.2</w:t>
            </w:r>
          </w:p>
        </w:tc>
        <w:tc>
          <w:tcPr>
            <w:tcW w:w="1180" w:type="dxa"/>
            <w:tcBorders>
              <w:top w:val="nil"/>
              <w:left w:val="nil"/>
              <w:bottom w:val="single" w:sz="8" w:space="0" w:color="A5A6A5"/>
              <w:right w:val="nil"/>
            </w:tcBorders>
            <w:shd w:val="clear" w:color="000000" w:fill="D9D9D9"/>
            <w:vAlign w:val="center"/>
            <w:hideMark/>
          </w:tcPr>
          <w:p w14:paraId="563F5FB8" w14:textId="77777777" w:rsidR="00F110E7" w:rsidRPr="009D1DBB" w:rsidRDefault="00F110E7" w:rsidP="0033392E">
            <w:pPr>
              <w:jc w:val="right"/>
              <w:rPr>
                <w:b/>
                <w:bCs/>
                <w:color w:val="313231"/>
                <w:sz w:val="20"/>
                <w:szCs w:val="20"/>
              </w:rPr>
            </w:pPr>
            <w:r w:rsidRPr="009D1DBB">
              <w:rPr>
                <w:b/>
                <w:bCs/>
                <w:color w:val="313231"/>
                <w:sz w:val="20"/>
                <w:szCs w:val="20"/>
              </w:rPr>
              <w:t>168.6</w:t>
            </w:r>
          </w:p>
        </w:tc>
        <w:tc>
          <w:tcPr>
            <w:tcW w:w="1180" w:type="dxa"/>
            <w:tcBorders>
              <w:top w:val="nil"/>
              <w:left w:val="nil"/>
              <w:bottom w:val="single" w:sz="8" w:space="0" w:color="A5A6A5"/>
              <w:right w:val="nil"/>
            </w:tcBorders>
            <w:shd w:val="clear" w:color="auto" w:fill="auto"/>
            <w:vAlign w:val="center"/>
            <w:hideMark/>
          </w:tcPr>
          <w:p w14:paraId="5847EC03" w14:textId="77777777" w:rsidR="00F110E7" w:rsidRPr="009D1DBB" w:rsidRDefault="00F110E7" w:rsidP="0033392E">
            <w:pPr>
              <w:jc w:val="right"/>
              <w:rPr>
                <w:b/>
                <w:bCs/>
                <w:color w:val="313231"/>
                <w:sz w:val="20"/>
                <w:szCs w:val="20"/>
              </w:rPr>
            </w:pPr>
            <w:r w:rsidRPr="009D1DBB">
              <w:rPr>
                <w:b/>
                <w:bCs/>
                <w:color w:val="313231"/>
                <w:sz w:val="20"/>
                <w:szCs w:val="20"/>
              </w:rPr>
              <w:t>76.2</w:t>
            </w:r>
          </w:p>
        </w:tc>
        <w:tc>
          <w:tcPr>
            <w:tcW w:w="1180" w:type="dxa"/>
            <w:tcBorders>
              <w:top w:val="nil"/>
              <w:left w:val="nil"/>
              <w:bottom w:val="single" w:sz="8" w:space="0" w:color="A5A6A5"/>
              <w:right w:val="nil"/>
            </w:tcBorders>
            <w:shd w:val="clear" w:color="000000" w:fill="D9D9D9"/>
            <w:vAlign w:val="center"/>
            <w:hideMark/>
          </w:tcPr>
          <w:p w14:paraId="5A360495" w14:textId="77777777" w:rsidR="00F110E7" w:rsidRPr="009D1DBB" w:rsidRDefault="00F110E7" w:rsidP="0033392E">
            <w:pPr>
              <w:jc w:val="right"/>
              <w:rPr>
                <w:b/>
                <w:bCs/>
                <w:color w:val="313231"/>
                <w:sz w:val="20"/>
                <w:szCs w:val="20"/>
              </w:rPr>
            </w:pPr>
            <w:r w:rsidRPr="009D1DBB">
              <w:rPr>
                <w:b/>
                <w:bCs/>
                <w:color w:val="313231"/>
                <w:sz w:val="20"/>
                <w:szCs w:val="20"/>
              </w:rPr>
              <w:t>75.2</w:t>
            </w:r>
          </w:p>
        </w:tc>
        <w:tc>
          <w:tcPr>
            <w:tcW w:w="1180" w:type="dxa"/>
            <w:tcBorders>
              <w:top w:val="nil"/>
              <w:left w:val="nil"/>
              <w:bottom w:val="single" w:sz="8" w:space="0" w:color="A5A6A5"/>
              <w:right w:val="nil"/>
            </w:tcBorders>
            <w:shd w:val="clear" w:color="auto" w:fill="auto"/>
            <w:vAlign w:val="center"/>
            <w:hideMark/>
          </w:tcPr>
          <w:p w14:paraId="655AABA2" w14:textId="77777777" w:rsidR="00F110E7" w:rsidRPr="009D1DBB" w:rsidRDefault="00F110E7" w:rsidP="0033392E">
            <w:pPr>
              <w:jc w:val="right"/>
              <w:rPr>
                <w:b/>
                <w:bCs/>
                <w:color w:val="313231"/>
                <w:sz w:val="20"/>
                <w:szCs w:val="20"/>
              </w:rPr>
            </w:pPr>
            <w:r w:rsidRPr="009D1DBB">
              <w:rPr>
                <w:b/>
                <w:bCs/>
                <w:color w:val="313231"/>
                <w:sz w:val="20"/>
                <w:szCs w:val="20"/>
              </w:rPr>
              <w:t>960.6</w:t>
            </w:r>
          </w:p>
        </w:tc>
        <w:tc>
          <w:tcPr>
            <w:tcW w:w="1180" w:type="dxa"/>
            <w:tcBorders>
              <w:top w:val="nil"/>
              <w:left w:val="nil"/>
              <w:bottom w:val="single" w:sz="8" w:space="0" w:color="A5A6A5"/>
              <w:right w:val="nil"/>
            </w:tcBorders>
            <w:shd w:val="clear" w:color="000000" w:fill="D9D9D9"/>
            <w:vAlign w:val="center"/>
            <w:hideMark/>
          </w:tcPr>
          <w:p w14:paraId="62774815" w14:textId="77777777" w:rsidR="00F110E7" w:rsidRPr="009D1DBB" w:rsidRDefault="00F110E7" w:rsidP="0033392E">
            <w:pPr>
              <w:jc w:val="right"/>
              <w:rPr>
                <w:b/>
                <w:bCs/>
                <w:color w:val="313231"/>
                <w:sz w:val="20"/>
                <w:szCs w:val="20"/>
              </w:rPr>
            </w:pPr>
            <w:r w:rsidRPr="009D1DBB">
              <w:rPr>
                <w:b/>
                <w:bCs/>
                <w:color w:val="313231"/>
                <w:sz w:val="20"/>
                <w:szCs w:val="20"/>
              </w:rPr>
              <w:t>1,010.9</w:t>
            </w:r>
          </w:p>
        </w:tc>
      </w:tr>
    </w:tbl>
    <w:p w14:paraId="68588F99" w14:textId="77777777" w:rsidR="00F110E7" w:rsidRDefault="00F110E7" w:rsidP="00F110E7">
      <w:pPr>
        <w:pStyle w:val="BodyTextIndent"/>
        <w:rPr>
          <w:bCs/>
        </w:rPr>
      </w:pPr>
    </w:p>
    <w:p w14:paraId="2889D8C5" w14:textId="77777777" w:rsidR="00F110E7" w:rsidRPr="009D36D5" w:rsidRDefault="00F110E7" w:rsidP="00F110E7">
      <w:pPr>
        <w:pStyle w:val="BodyTextIndent"/>
        <w:spacing w:after="180"/>
        <w:rPr>
          <w:bCs/>
        </w:rPr>
      </w:pPr>
    </w:p>
    <w:p w14:paraId="4B4DBE87" w14:textId="77777777" w:rsidR="00F110E7" w:rsidRPr="009D36D5" w:rsidRDefault="00F110E7" w:rsidP="00F110E7">
      <w:pPr>
        <w:pStyle w:val="BodyTextIndent"/>
        <w:spacing w:after="180"/>
        <w:rPr>
          <w:bCs/>
        </w:rPr>
      </w:pPr>
    </w:p>
    <w:p w14:paraId="00932D65" w14:textId="77777777" w:rsidR="00A311B4" w:rsidRPr="009D36D5" w:rsidRDefault="00A311B4" w:rsidP="00A311B4">
      <w:pPr>
        <w:pStyle w:val="BodyTextIndent"/>
        <w:spacing w:after="180"/>
        <w:rPr>
          <w:bCs/>
        </w:rPr>
      </w:pPr>
    </w:p>
    <w:p w14:paraId="294121D5" w14:textId="77777777" w:rsidR="004A5EC0" w:rsidRDefault="004A5EC0" w:rsidP="000D7D98">
      <w:pPr>
        <w:rPr>
          <w:bCs/>
        </w:rPr>
      </w:pPr>
    </w:p>
    <w:p w14:paraId="42BBAD50" w14:textId="77777777" w:rsidR="004A5EC0" w:rsidRDefault="004A5EC0" w:rsidP="000D7D98">
      <w:pPr>
        <w:rPr>
          <w:bCs/>
        </w:rPr>
      </w:pPr>
    </w:p>
    <w:p w14:paraId="34F4BF9A" w14:textId="77777777" w:rsidR="004A5EC0" w:rsidRDefault="004A5EC0" w:rsidP="000D7D98">
      <w:pPr>
        <w:rPr>
          <w:bCs/>
        </w:rPr>
      </w:pPr>
    </w:p>
    <w:p w14:paraId="2C673789" w14:textId="77777777" w:rsidR="004A5EC0" w:rsidRDefault="004A5EC0" w:rsidP="000D7D98">
      <w:pPr>
        <w:rPr>
          <w:bCs/>
        </w:rPr>
      </w:pPr>
    </w:p>
    <w:p w14:paraId="0ECA4C47" w14:textId="77777777" w:rsidR="004A5EC0" w:rsidRDefault="004A5EC0" w:rsidP="000D7D98">
      <w:pPr>
        <w:rPr>
          <w:bCs/>
        </w:rPr>
      </w:pPr>
    </w:p>
    <w:p w14:paraId="01DCFA8A" w14:textId="77777777" w:rsidR="004A5EC0" w:rsidRDefault="004A5EC0" w:rsidP="000D7D98">
      <w:pPr>
        <w:rPr>
          <w:bCs/>
        </w:rPr>
      </w:pPr>
    </w:p>
    <w:p w14:paraId="15844332" w14:textId="77777777" w:rsidR="004A5EC0" w:rsidRDefault="004A5EC0" w:rsidP="000D7D98">
      <w:pPr>
        <w:rPr>
          <w:bCs/>
        </w:rPr>
      </w:pPr>
    </w:p>
    <w:p w14:paraId="0E129E73" w14:textId="77777777" w:rsidR="004A5EC0" w:rsidRDefault="004A5EC0" w:rsidP="000D7D98">
      <w:pPr>
        <w:rPr>
          <w:bCs/>
        </w:rPr>
      </w:pPr>
    </w:p>
    <w:sectPr w:rsidR="004A5EC0" w:rsidSect="004A5EC0">
      <w:pgSz w:w="16838" w:h="11906" w:orient="landscape"/>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14347" w14:textId="77777777" w:rsidR="0082118D" w:rsidRDefault="0082118D" w:rsidP="000D7D98">
      <w:r>
        <w:separator/>
      </w:r>
    </w:p>
  </w:endnote>
  <w:endnote w:type="continuationSeparator" w:id="0">
    <w:p w14:paraId="2F3E5245" w14:textId="77777777" w:rsidR="0082118D" w:rsidRDefault="0082118D" w:rsidP="000D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78B86" w14:textId="77777777" w:rsidR="0082118D" w:rsidRDefault="0082118D" w:rsidP="000D7D98">
      <w:r>
        <w:separator/>
      </w:r>
    </w:p>
  </w:footnote>
  <w:footnote w:type="continuationSeparator" w:id="0">
    <w:p w14:paraId="4432740F" w14:textId="77777777" w:rsidR="0082118D" w:rsidRDefault="0082118D" w:rsidP="000D7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B13D4"/>
    <w:multiLevelType w:val="hybridMultilevel"/>
    <w:tmpl w:val="CCE4C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7F31BD"/>
    <w:multiLevelType w:val="hybridMultilevel"/>
    <w:tmpl w:val="DC5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98"/>
    <w:rsid w:val="000136B9"/>
    <w:rsid w:val="000272FD"/>
    <w:rsid w:val="000409F0"/>
    <w:rsid w:val="00063348"/>
    <w:rsid w:val="0006500A"/>
    <w:rsid w:val="000A4984"/>
    <w:rsid w:val="000B642C"/>
    <w:rsid w:val="000C6F6C"/>
    <w:rsid w:val="000D7D98"/>
    <w:rsid w:val="00114553"/>
    <w:rsid w:val="001B5707"/>
    <w:rsid w:val="00244E1C"/>
    <w:rsid w:val="002E66FC"/>
    <w:rsid w:val="0035106A"/>
    <w:rsid w:val="0035694F"/>
    <w:rsid w:val="00365DE9"/>
    <w:rsid w:val="00381EBC"/>
    <w:rsid w:val="00385762"/>
    <w:rsid w:val="00454BB9"/>
    <w:rsid w:val="004970BF"/>
    <w:rsid w:val="004A5EC0"/>
    <w:rsid w:val="004F1845"/>
    <w:rsid w:val="00510A8B"/>
    <w:rsid w:val="005740C7"/>
    <w:rsid w:val="005A7FF8"/>
    <w:rsid w:val="006078FA"/>
    <w:rsid w:val="006834DB"/>
    <w:rsid w:val="006A4750"/>
    <w:rsid w:val="006B7C85"/>
    <w:rsid w:val="006E4478"/>
    <w:rsid w:val="007452AB"/>
    <w:rsid w:val="00754CF5"/>
    <w:rsid w:val="007B7F47"/>
    <w:rsid w:val="0082118D"/>
    <w:rsid w:val="00955B00"/>
    <w:rsid w:val="00965A28"/>
    <w:rsid w:val="0096765A"/>
    <w:rsid w:val="009D1DBB"/>
    <w:rsid w:val="00A311B4"/>
    <w:rsid w:val="00AE0BDF"/>
    <w:rsid w:val="00AF0A14"/>
    <w:rsid w:val="00AF22A0"/>
    <w:rsid w:val="00B00D91"/>
    <w:rsid w:val="00B221E3"/>
    <w:rsid w:val="00B45923"/>
    <w:rsid w:val="00BB08BC"/>
    <w:rsid w:val="00BB3D4A"/>
    <w:rsid w:val="00BB78BB"/>
    <w:rsid w:val="00C35AE7"/>
    <w:rsid w:val="00CA4BE1"/>
    <w:rsid w:val="00CD18D1"/>
    <w:rsid w:val="00CD763F"/>
    <w:rsid w:val="00D43831"/>
    <w:rsid w:val="00DC2755"/>
    <w:rsid w:val="00E35781"/>
    <w:rsid w:val="00E80EC2"/>
    <w:rsid w:val="00E84AF1"/>
    <w:rsid w:val="00EF7B52"/>
    <w:rsid w:val="00F110E7"/>
    <w:rsid w:val="00F24ACA"/>
    <w:rsid w:val="00F60B8D"/>
    <w:rsid w:val="00F955E9"/>
    <w:rsid w:val="00FA4FDD"/>
    <w:rsid w:val="00FC3863"/>
    <w:rsid w:val="00FE1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A8314"/>
  <w15:chartTrackingRefBased/>
  <w15:docId w15:val="{2BF4E70C-12BB-475F-AF2D-429E1560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7D98"/>
    <w:rPr>
      <w:rFonts w:ascii="Foundry Form Sans" w:hAnsi="Foundry Form Sans"/>
      <w:sz w:val="24"/>
      <w:szCs w:val="24"/>
      <w:lang w:eastAsia="en-US"/>
    </w:rPr>
  </w:style>
  <w:style w:type="paragraph" w:styleId="Heading1">
    <w:name w:val="heading 1"/>
    <w:basedOn w:val="Normal"/>
    <w:next w:val="Normal"/>
    <w:link w:val="Heading1Char"/>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rsid w:val="000D7D98"/>
    <w:pPr>
      <w:tabs>
        <w:tab w:val="center" w:pos="4320"/>
        <w:tab w:val="right" w:pos="8640"/>
      </w:tabs>
      <w:ind w:left="720" w:hanging="720"/>
    </w:pPr>
    <w:rPr>
      <w:rFonts w:ascii="Arial" w:hAnsi="Arial"/>
      <w:szCs w:val="20"/>
    </w:r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rsid w:val="000D7D98"/>
    <w:rPr>
      <w:rFonts w:ascii="Arial" w:hAnsi="Arial"/>
      <w:sz w:val="24"/>
      <w:lang w:eastAsia="en-US"/>
    </w:rPr>
  </w:style>
  <w:style w:type="character" w:customStyle="1" w:styleId="Heading1Char">
    <w:name w:val="Heading 1 Char"/>
    <w:basedOn w:val="DefaultParagraphFont"/>
    <w:link w:val="Heading1"/>
    <w:locked/>
    <w:rsid w:val="000D7D98"/>
    <w:rPr>
      <w:rFonts w:ascii="Arial" w:hAnsi="Arial" w:cs="Arial"/>
      <w:b/>
      <w:bCs/>
      <w:kern w:val="32"/>
      <w:sz w:val="32"/>
      <w:szCs w:val="32"/>
      <w:lang w:eastAsia="en-US"/>
    </w:rPr>
  </w:style>
  <w:style w:type="paragraph" w:styleId="ListParagraph">
    <w:name w:val="List Paragraph"/>
    <w:basedOn w:val="Normal"/>
    <w:uiPriority w:val="34"/>
    <w:qFormat/>
    <w:rsid w:val="000D7D98"/>
    <w:pPr>
      <w:ind w:left="720"/>
      <w:contextualSpacing/>
    </w:pPr>
  </w:style>
  <w:style w:type="paragraph" w:styleId="BodyTextIndent">
    <w:name w:val="Body Text Indent"/>
    <w:basedOn w:val="Normal"/>
    <w:link w:val="BodyTextIndentChar"/>
    <w:uiPriority w:val="99"/>
    <w:unhideWhenUsed/>
    <w:rsid w:val="000D7D98"/>
    <w:pPr>
      <w:spacing w:after="120"/>
      <w:ind w:left="283"/>
    </w:pPr>
  </w:style>
  <w:style w:type="character" w:customStyle="1" w:styleId="BodyTextIndentChar">
    <w:name w:val="Body Text Indent Char"/>
    <w:basedOn w:val="DefaultParagraphFont"/>
    <w:link w:val="BodyTextIndent"/>
    <w:uiPriority w:val="99"/>
    <w:rsid w:val="000D7D98"/>
    <w:rPr>
      <w:rFonts w:ascii="Foundry Form Sans" w:hAnsi="Foundry Form Sans"/>
      <w:sz w:val="24"/>
      <w:szCs w:val="24"/>
      <w:lang w:eastAsia="en-US"/>
    </w:rPr>
  </w:style>
  <w:style w:type="paragraph" w:styleId="Footer">
    <w:name w:val="footer"/>
    <w:basedOn w:val="Normal"/>
    <w:link w:val="FooterChar"/>
    <w:unhideWhenUsed/>
    <w:rsid w:val="000D7D98"/>
    <w:pPr>
      <w:tabs>
        <w:tab w:val="center" w:pos="4513"/>
        <w:tab w:val="right" w:pos="9026"/>
      </w:tabs>
    </w:pPr>
  </w:style>
  <w:style w:type="character" w:customStyle="1" w:styleId="FooterChar">
    <w:name w:val="Footer Char"/>
    <w:basedOn w:val="DefaultParagraphFont"/>
    <w:link w:val="Footer"/>
    <w:rsid w:val="000D7D98"/>
    <w:rPr>
      <w:rFonts w:ascii="Foundry Form Sans" w:hAnsi="Foundry Form Sans"/>
      <w:sz w:val="24"/>
      <w:szCs w:val="24"/>
      <w:lang w:eastAsia="en-US"/>
    </w:rPr>
  </w:style>
  <w:style w:type="character" w:styleId="Hyperlink">
    <w:name w:val="Hyperlink"/>
    <w:basedOn w:val="DefaultParagraphFont"/>
    <w:unhideWhenUsed/>
    <w:rsid w:val="00A311B4"/>
    <w:rPr>
      <w:color w:val="0000FF" w:themeColor="hyperlink"/>
      <w:u w:val="single"/>
    </w:rPr>
  </w:style>
  <w:style w:type="character" w:styleId="UnresolvedMention">
    <w:name w:val="Unresolved Mention"/>
    <w:basedOn w:val="DefaultParagraphFont"/>
    <w:uiPriority w:val="99"/>
    <w:semiHidden/>
    <w:unhideWhenUsed/>
    <w:rsid w:val="00A31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4809">
      <w:bodyDiv w:val="1"/>
      <w:marLeft w:val="0"/>
      <w:marRight w:val="0"/>
      <w:marTop w:val="0"/>
      <w:marBottom w:val="0"/>
      <w:divBdr>
        <w:top w:val="none" w:sz="0" w:space="0" w:color="auto"/>
        <w:left w:val="none" w:sz="0" w:space="0" w:color="auto"/>
        <w:bottom w:val="none" w:sz="0" w:space="0" w:color="auto"/>
        <w:right w:val="none" w:sz="0" w:space="0" w:color="auto"/>
      </w:divBdr>
    </w:div>
    <w:div w:id="19714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nd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29AA2CD12285428B4780072BF42820" ma:contentTypeVersion="11" ma:contentTypeDescription="Create a new document." ma:contentTypeScope="" ma:versionID="cabe0f5eaf8d10ccbbe0cc437c5fadc2">
  <xsd:schema xmlns:xsd="http://www.w3.org/2001/XMLSchema" xmlns:xs="http://www.w3.org/2001/XMLSchema" xmlns:p="http://schemas.microsoft.com/office/2006/metadata/properties" xmlns:ns3="355c9402-aa60-405b-bc6b-96c9a8f9a336" xmlns:ns4="b2cf9d79-e893-46ae-b07a-ec2dd07ab943" targetNamespace="http://schemas.microsoft.com/office/2006/metadata/properties" ma:root="true" ma:fieldsID="90d516fd1d8f51b3461da23245f21c87" ns3:_="" ns4:_="">
    <xsd:import namespace="355c9402-aa60-405b-bc6b-96c9a8f9a336"/>
    <xsd:import namespace="b2cf9d79-e893-46ae-b07a-ec2dd07ab9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c9402-aa60-405b-bc6b-96c9a8f9a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f9d79-e893-46ae-b07a-ec2dd07ab94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652D-DB00-44C5-A2F9-30656B9DE034}">
  <ds:schemaRefs>
    <ds:schemaRef ds:uri="http://schemas.microsoft.com/sharepoint/v3/contenttype/forms"/>
  </ds:schemaRefs>
</ds:datastoreItem>
</file>

<file path=customXml/itemProps2.xml><?xml version="1.0" encoding="utf-8"?>
<ds:datastoreItem xmlns:ds="http://schemas.openxmlformats.org/officeDocument/2006/customXml" ds:itemID="{7D982C3E-8464-46EA-864A-DD06F5B97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c9402-aa60-405b-bc6b-96c9a8f9a336"/>
    <ds:schemaRef ds:uri="b2cf9d79-e893-46ae-b07a-ec2dd07ab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F3DCF-7B71-4E5F-86EF-3ADB661DD0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031434-AF99-47E4-993E-3C873206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Mitchell</dc:creator>
  <cp:keywords/>
  <dc:description/>
  <cp:lastModifiedBy>Thomson, Paul: WCC</cp:lastModifiedBy>
  <cp:revision>4</cp:revision>
  <cp:lastPrinted>2020-02-17T20:51:00Z</cp:lastPrinted>
  <dcterms:created xsi:type="dcterms:W3CDTF">2020-02-25T09:13:00Z</dcterms:created>
  <dcterms:modified xsi:type="dcterms:W3CDTF">2020-02-25T09:30:00Z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0x0101005C29AA2CD12285428B4780072BF42820</vt:lpwstr>
  </property>
</Properties>
</file>