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DBA5" w14:textId="5D5161FA"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bookmarkStart w:id="0" w:name="_Hlk5089697"/>
      <w:bookmarkStart w:id="1" w:name="_GoBack"/>
      <w:bookmarkEnd w:id="1"/>
      <w:r w:rsidRPr="009E0174">
        <w:rPr>
          <w:rFonts w:ascii="Times New Roman" w:eastAsia="Times New Roman" w:hAnsi="Times New Roman" w:cs="Times New Roman"/>
          <w:b/>
          <w:color w:val="000000"/>
          <w:spacing w:val="-3"/>
          <w:sz w:val="25"/>
        </w:rPr>
        <w:t xml:space="preserve">SECTION 77 OF THE TOWN AND COUNTRY PLANNING ACT </w:t>
      </w:r>
      <w:r w:rsidRPr="009E0174">
        <w:rPr>
          <w:rFonts w:ascii="Times New Roman" w:eastAsia="Times New Roman" w:hAnsi="Times New Roman" w:cs="Times New Roman"/>
          <w:b/>
          <w:color w:val="000000"/>
          <w:spacing w:val="-3"/>
          <w:sz w:val="25"/>
        </w:rPr>
        <w:br/>
        <w:t>1990 (AS AMENDED)</w:t>
      </w:r>
    </w:p>
    <w:p w14:paraId="564947DE"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54570476"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29530387"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70BB11A8"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53A13C09"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6B891596"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r w:rsidRPr="009E0174">
        <w:rPr>
          <w:rFonts w:ascii="Times New Roman" w:eastAsia="Times New Roman" w:hAnsi="Times New Roman" w:cs="Times New Roman"/>
          <w:b/>
          <w:color w:val="000000"/>
          <w:spacing w:val="-3"/>
          <w:sz w:val="25"/>
        </w:rPr>
        <w:t>CALL IN INQUIRY INTO THE PROPOSED DEVELOPMENT OF THE UNITED KINGDOM HOLOCAUST MEMORIAL AND LEARNING CENTRE LOCATED WITHIN VICTORIA TOWER GARDENS, MILLBANK, LONDON SW1P 3YB</w:t>
      </w:r>
    </w:p>
    <w:p w14:paraId="050E000D"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z w:val="25"/>
        </w:rPr>
      </w:pPr>
    </w:p>
    <w:p w14:paraId="05249D36" w14:textId="67EB7BFE" w:rsidR="00424E2E" w:rsidRDefault="00745B4B" w:rsidP="000966D9">
      <w:pPr>
        <w:spacing w:after="0" w:line="360" w:lineRule="auto"/>
        <w:jc w:val="center"/>
        <w:textAlignment w:val="baseline"/>
        <w:rPr>
          <w:rFonts w:ascii="Times New Roman" w:eastAsia="Times New Roman" w:hAnsi="Times New Roman" w:cs="Times New Roman"/>
          <w:b/>
          <w:color w:val="000000"/>
          <w:sz w:val="25"/>
        </w:rPr>
      </w:pPr>
      <w:r>
        <w:rPr>
          <w:rFonts w:ascii="Times New Roman" w:eastAsia="Times New Roman" w:hAnsi="Times New Roman" w:cs="Times New Roman"/>
          <w:b/>
          <w:color w:val="000000"/>
          <w:sz w:val="25"/>
        </w:rPr>
        <w:t xml:space="preserve">SUMMARY </w:t>
      </w:r>
      <w:r w:rsidR="00424E2E" w:rsidRPr="009E0174">
        <w:rPr>
          <w:rFonts w:ascii="Times New Roman" w:eastAsia="Times New Roman" w:hAnsi="Times New Roman" w:cs="Times New Roman"/>
          <w:b/>
          <w:color w:val="000000"/>
          <w:sz w:val="25"/>
        </w:rPr>
        <w:t>PROOF OF EVIDENCE OF CE NUNNS, BSc</w:t>
      </w:r>
      <w:r w:rsidR="005875D3">
        <w:rPr>
          <w:rFonts w:ascii="Times New Roman" w:eastAsia="Times New Roman" w:hAnsi="Times New Roman" w:cs="Times New Roman"/>
          <w:b/>
          <w:color w:val="000000"/>
          <w:sz w:val="25"/>
        </w:rPr>
        <w:t xml:space="preserve"> </w:t>
      </w:r>
      <w:r w:rsidR="00424E2E" w:rsidRPr="009E0174">
        <w:rPr>
          <w:rFonts w:ascii="Times New Roman" w:eastAsia="Times New Roman" w:hAnsi="Times New Roman" w:cs="Times New Roman"/>
          <w:b/>
          <w:color w:val="000000"/>
          <w:sz w:val="25"/>
        </w:rPr>
        <w:t>(HONS). CWEM, MCIWEM, CEnv</w:t>
      </w:r>
    </w:p>
    <w:p w14:paraId="08E531AA" w14:textId="5BAF041F"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43E1065" w14:textId="77777777" w:rsidR="000966D9" w:rsidRPr="009E0174"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8AFD3B7"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On behalf of</w:t>
      </w:r>
    </w:p>
    <w:p w14:paraId="3C5A0F0A"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THE SECRETARY OF STATE FOR HOUSING COMMUNITIES AND LOCAL GOVERNMENT</w:t>
      </w:r>
    </w:p>
    <w:p w14:paraId="65FFBA43" w14:textId="3C07EB8D" w:rsidR="00424E2E" w:rsidRDefault="00424E2E" w:rsidP="000966D9">
      <w:pPr>
        <w:spacing w:after="0" w:line="360" w:lineRule="auto"/>
        <w:jc w:val="center"/>
        <w:textAlignment w:val="baseline"/>
        <w:rPr>
          <w:rFonts w:ascii="Times New Roman" w:eastAsia="Times New Roman" w:hAnsi="Times New Roman" w:cs="Times New Roman"/>
          <w:b/>
          <w:color w:val="000000"/>
          <w:sz w:val="25"/>
        </w:rPr>
      </w:pPr>
    </w:p>
    <w:p w14:paraId="16E4598A" w14:textId="514BCA64"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3A02E33" w14:textId="13194C7F"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4C98622D" w14:textId="77777777" w:rsidR="000966D9" w:rsidRPr="009E0174"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1E998F0F" w14:textId="0CFB417A" w:rsidR="00424E2E"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 xml:space="preserve">TOWN AND COUNTRY PLANNING (INQUIRIES </w:t>
      </w:r>
      <w:r w:rsidRPr="009E0174">
        <w:rPr>
          <w:rFonts w:ascii="Times New Roman" w:eastAsia="Times New Roman" w:hAnsi="Times New Roman" w:cs="Times New Roman"/>
          <w:b/>
          <w:color w:val="000000"/>
          <w:sz w:val="25"/>
        </w:rPr>
        <w:br/>
        <w:t>PROCEDURE) (ENGLAND) RULES 2000</w:t>
      </w:r>
      <w:bookmarkEnd w:id="0"/>
    </w:p>
    <w:p w14:paraId="1E0B92BB" w14:textId="3D08C642"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14AA9FE8" w14:textId="70C53728"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58E1FC5B" w14:textId="709B0E97"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078BA767" w14:textId="13A1C74E"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4067A73F" w14:textId="6387E04B"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EB4973A" w14:textId="211A812F"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2522B4DA" w14:textId="77777777" w:rsidR="000966D9" w:rsidRPr="009E0174"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0411E973" w14:textId="1F18821E" w:rsidR="000966D9"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V</w:t>
      </w:r>
      <w:r w:rsidR="009372E1">
        <w:rPr>
          <w:rFonts w:ascii="Times New Roman" w:eastAsia="Times New Roman" w:hAnsi="Times New Roman" w:cs="Times New Roman"/>
          <w:b/>
          <w:color w:val="000000"/>
          <w:sz w:val="25"/>
        </w:rPr>
        <w:t>3 08.09</w:t>
      </w:r>
      <w:r w:rsidRPr="009E0174">
        <w:rPr>
          <w:rFonts w:ascii="Times New Roman" w:eastAsia="Times New Roman" w:hAnsi="Times New Roman" w:cs="Times New Roman"/>
          <w:b/>
          <w:color w:val="000000"/>
          <w:sz w:val="25"/>
        </w:rPr>
        <w:t>.20</w:t>
      </w:r>
    </w:p>
    <w:p w14:paraId="1F790910" w14:textId="65F37274" w:rsidR="00424E2E" w:rsidRDefault="00745B4B" w:rsidP="00F6160E">
      <w:pPr>
        <w:pStyle w:val="ListParagraph"/>
        <w:widowControl w:val="0"/>
        <w:numPr>
          <w:ilvl w:val="0"/>
          <w:numId w:val="14"/>
        </w:numPr>
        <w:tabs>
          <w:tab w:val="left" w:pos="821"/>
        </w:tabs>
        <w:autoSpaceDE w:val="0"/>
        <w:autoSpaceDN w:val="0"/>
        <w:spacing w:after="0" w:line="360" w:lineRule="auto"/>
        <w:ind w:left="732" w:right="116"/>
        <w:jc w:val="both"/>
        <w:rPr>
          <w:rFonts w:ascii="Times New Roman" w:hAnsi="Times New Roman" w:cs="Times New Roman"/>
          <w:sz w:val="24"/>
          <w:szCs w:val="24"/>
        </w:rPr>
      </w:pPr>
      <w:r w:rsidRPr="00745B4B">
        <w:rPr>
          <w:rFonts w:ascii="Times New Roman" w:hAnsi="Times New Roman" w:cs="Times New Roman"/>
          <w:sz w:val="24"/>
          <w:szCs w:val="24"/>
        </w:rPr>
        <w:lastRenderedPageBreak/>
        <w:t xml:space="preserve">This is the </w:t>
      </w:r>
      <w:r>
        <w:rPr>
          <w:rFonts w:ascii="Times New Roman" w:hAnsi="Times New Roman" w:cs="Times New Roman"/>
          <w:sz w:val="24"/>
          <w:szCs w:val="24"/>
        </w:rPr>
        <w:t>S</w:t>
      </w:r>
      <w:r w:rsidRPr="00745B4B">
        <w:rPr>
          <w:rFonts w:ascii="Times New Roman" w:hAnsi="Times New Roman" w:cs="Times New Roman"/>
          <w:sz w:val="24"/>
          <w:szCs w:val="24"/>
        </w:rPr>
        <w:t xml:space="preserve">ummary </w:t>
      </w:r>
      <w:r>
        <w:rPr>
          <w:rFonts w:ascii="Times New Roman" w:hAnsi="Times New Roman" w:cs="Times New Roman"/>
          <w:sz w:val="24"/>
          <w:szCs w:val="24"/>
        </w:rPr>
        <w:t>P</w:t>
      </w:r>
      <w:r w:rsidRPr="00745B4B">
        <w:rPr>
          <w:rFonts w:ascii="Times New Roman" w:hAnsi="Times New Roman" w:cs="Times New Roman"/>
          <w:sz w:val="24"/>
          <w:szCs w:val="24"/>
        </w:rPr>
        <w:t xml:space="preserve">roof of Evidence of </w:t>
      </w:r>
      <w:r w:rsidR="00EF1B5B" w:rsidRPr="00745B4B">
        <w:rPr>
          <w:rFonts w:ascii="Times New Roman" w:hAnsi="Times New Roman" w:cs="Times New Roman"/>
          <w:sz w:val="24"/>
          <w:szCs w:val="24"/>
        </w:rPr>
        <w:t>Charlotte Nunns</w:t>
      </w:r>
      <w:r>
        <w:rPr>
          <w:rFonts w:ascii="Times New Roman" w:hAnsi="Times New Roman" w:cs="Times New Roman"/>
          <w:sz w:val="24"/>
          <w:szCs w:val="24"/>
        </w:rPr>
        <w:t xml:space="preserve"> in respect of matter pertaining to flood risk</w:t>
      </w:r>
      <w:r w:rsidR="00EF1B5B" w:rsidRPr="00745B4B">
        <w:rPr>
          <w:rFonts w:ascii="Times New Roman" w:hAnsi="Times New Roman" w:cs="Times New Roman"/>
          <w:sz w:val="24"/>
          <w:szCs w:val="24"/>
        </w:rPr>
        <w:t xml:space="preserve">. </w:t>
      </w:r>
    </w:p>
    <w:p w14:paraId="47A82552" w14:textId="77777777" w:rsidR="00745B4B" w:rsidRPr="00745B4B" w:rsidRDefault="00745B4B" w:rsidP="00745B4B">
      <w:pPr>
        <w:widowControl w:val="0"/>
        <w:tabs>
          <w:tab w:val="left" w:pos="821"/>
        </w:tabs>
        <w:autoSpaceDE w:val="0"/>
        <w:autoSpaceDN w:val="0"/>
        <w:spacing w:after="0" w:line="360" w:lineRule="auto"/>
        <w:ind w:left="372" w:right="116"/>
        <w:jc w:val="both"/>
        <w:rPr>
          <w:rFonts w:ascii="Times New Roman" w:hAnsi="Times New Roman" w:cs="Times New Roman"/>
          <w:sz w:val="24"/>
          <w:szCs w:val="24"/>
        </w:rPr>
      </w:pPr>
    </w:p>
    <w:p w14:paraId="64090EE1" w14:textId="6AB4AE88" w:rsidR="00424E2E" w:rsidRPr="009E0174" w:rsidRDefault="00424E2E"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 xml:space="preserve">I am familiar with the Application Site and the surrounding area. I </w:t>
      </w:r>
      <w:r w:rsidR="009C0E4C" w:rsidRPr="009E0174">
        <w:rPr>
          <w:rFonts w:ascii="Times New Roman" w:hAnsi="Times New Roman" w:cs="Times New Roman"/>
          <w:sz w:val="24"/>
          <w:szCs w:val="24"/>
        </w:rPr>
        <w:t xml:space="preserve">have been involved </w:t>
      </w:r>
      <w:r w:rsidRPr="009E0174">
        <w:rPr>
          <w:rFonts w:ascii="Times New Roman" w:hAnsi="Times New Roman" w:cs="Times New Roman"/>
          <w:sz w:val="24"/>
          <w:szCs w:val="24"/>
        </w:rPr>
        <w:t>in the Application to which this call-in relates</w:t>
      </w:r>
      <w:r w:rsidR="009C0E4C" w:rsidRPr="009E0174">
        <w:rPr>
          <w:rFonts w:ascii="Times New Roman" w:hAnsi="Times New Roman" w:cs="Times New Roman"/>
          <w:sz w:val="24"/>
          <w:szCs w:val="24"/>
        </w:rPr>
        <w:t>, since the original application was submitted in 201</w:t>
      </w:r>
      <w:r w:rsidR="00826792" w:rsidRPr="009E0174">
        <w:rPr>
          <w:rFonts w:ascii="Times New Roman" w:hAnsi="Times New Roman" w:cs="Times New Roman"/>
          <w:sz w:val="24"/>
          <w:szCs w:val="24"/>
        </w:rPr>
        <w:t>8</w:t>
      </w:r>
      <w:r w:rsidR="009C0E4C" w:rsidRPr="009E0174">
        <w:rPr>
          <w:rFonts w:ascii="Times New Roman" w:hAnsi="Times New Roman" w:cs="Times New Roman"/>
          <w:sz w:val="24"/>
          <w:szCs w:val="24"/>
        </w:rPr>
        <w:t>, being technical reviewer on the Flood Risk Assessment throughout.</w:t>
      </w:r>
    </w:p>
    <w:p w14:paraId="4A8CC0C1" w14:textId="77777777" w:rsidR="00424E2E" w:rsidRPr="009E0174" w:rsidRDefault="00424E2E"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14CB7EFD" w14:textId="3949CEAA" w:rsidR="00DA335D" w:rsidRDefault="00DA335D"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DA335D">
        <w:rPr>
          <w:rFonts w:ascii="Times New Roman" w:hAnsi="Times New Roman" w:cs="Times New Roman"/>
          <w:sz w:val="24"/>
          <w:szCs w:val="24"/>
        </w:rPr>
        <w:t xml:space="preserve">The evidence which I have prepared and provide for this call-in reference APP/X5990/V/19/3240661 in this </w:t>
      </w:r>
      <w:r w:rsidR="00745B4B">
        <w:rPr>
          <w:rFonts w:ascii="Times New Roman" w:hAnsi="Times New Roman" w:cs="Times New Roman"/>
          <w:sz w:val="24"/>
          <w:szCs w:val="24"/>
        </w:rPr>
        <w:t xml:space="preserve">summary </w:t>
      </w:r>
      <w:r w:rsidRPr="00DA335D">
        <w:rPr>
          <w:rFonts w:ascii="Times New Roman" w:hAnsi="Times New Roman" w:cs="Times New Roman"/>
          <w:sz w:val="24"/>
          <w:szCs w:val="24"/>
        </w:rPr>
        <w:t>proof of evidence is true and I confirm that the opinions expressed are my true and professional opinions.</w:t>
      </w:r>
    </w:p>
    <w:p w14:paraId="68E5D30E" w14:textId="769E87F0" w:rsidR="008E45C2" w:rsidRPr="00451217" w:rsidRDefault="008E45C2" w:rsidP="00451217">
      <w:pPr>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5C03A334" w14:textId="0000DC6A" w:rsidR="006534D2" w:rsidRDefault="00B75E84" w:rsidP="00451217">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The Site is located adjacent to the River Thames, which is designated </w:t>
      </w:r>
      <w:r w:rsidR="000D7B1E" w:rsidRPr="003A42A3">
        <w:rPr>
          <w:rFonts w:ascii="Times New Roman" w:hAnsi="Times New Roman" w:cs="Times New Roman"/>
          <w:sz w:val="24"/>
          <w:szCs w:val="24"/>
        </w:rPr>
        <w:t xml:space="preserve">by the Environment Agency </w:t>
      </w:r>
      <w:r w:rsidRPr="003A42A3">
        <w:rPr>
          <w:rFonts w:ascii="Times New Roman" w:hAnsi="Times New Roman" w:cs="Times New Roman"/>
          <w:sz w:val="24"/>
          <w:szCs w:val="24"/>
        </w:rPr>
        <w:t xml:space="preserve">as a tidally </w:t>
      </w:r>
      <w:r w:rsidR="000D7B1E" w:rsidRPr="003A42A3">
        <w:rPr>
          <w:rFonts w:ascii="Times New Roman" w:hAnsi="Times New Roman" w:cs="Times New Roman"/>
          <w:sz w:val="24"/>
          <w:szCs w:val="24"/>
        </w:rPr>
        <w:t>influenced Main River. The Environment Agency are therefore a statutory consultee and competent authority in relation to Planning review on Flood Risk</w:t>
      </w:r>
      <w:r w:rsidR="00116886">
        <w:rPr>
          <w:rFonts w:ascii="Times New Roman" w:hAnsi="Times New Roman" w:cs="Times New Roman"/>
          <w:sz w:val="24"/>
          <w:szCs w:val="24"/>
        </w:rPr>
        <w:t xml:space="preserve"> matters</w:t>
      </w:r>
      <w:r w:rsidR="00E93318">
        <w:rPr>
          <w:rFonts w:ascii="Times New Roman" w:hAnsi="Times New Roman" w:cs="Times New Roman"/>
          <w:sz w:val="24"/>
          <w:szCs w:val="24"/>
        </w:rPr>
        <w:t xml:space="preserve"> from this source</w:t>
      </w:r>
      <w:r w:rsidR="000D7B1E" w:rsidRPr="003A42A3">
        <w:rPr>
          <w:rFonts w:ascii="Times New Roman" w:hAnsi="Times New Roman" w:cs="Times New Roman"/>
          <w:sz w:val="24"/>
          <w:szCs w:val="24"/>
        </w:rPr>
        <w:t>.</w:t>
      </w:r>
      <w:r w:rsidR="00E93318">
        <w:rPr>
          <w:rFonts w:ascii="Times New Roman" w:hAnsi="Times New Roman" w:cs="Times New Roman"/>
          <w:sz w:val="24"/>
          <w:szCs w:val="24"/>
        </w:rPr>
        <w:t xml:space="preserve"> Westminster City Council</w:t>
      </w:r>
      <w:r w:rsidR="00277747">
        <w:rPr>
          <w:rFonts w:ascii="Times New Roman" w:hAnsi="Times New Roman" w:cs="Times New Roman"/>
          <w:sz w:val="24"/>
          <w:szCs w:val="24"/>
        </w:rPr>
        <w:t xml:space="preserve"> (WCC)</w:t>
      </w:r>
      <w:r w:rsidR="00E93318">
        <w:rPr>
          <w:rFonts w:ascii="Times New Roman" w:hAnsi="Times New Roman" w:cs="Times New Roman"/>
          <w:sz w:val="24"/>
          <w:szCs w:val="24"/>
        </w:rPr>
        <w:t>, as Lead Local Flood Authority are a statutory consultee on Surface Water Drainage and Flood Risk</w:t>
      </w:r>
      <w:r w:rsidR="005B13A1">
        <w:rPr>
          <w:rFonts w:ascii="Times New Roman" w:hAnsi="Times New Roman" w:cs="Times New Roman"/>
          <w:sz w:val="24"/>
          <w:szCs w:val="24"/>
        </w:rPr>
        <w:t xml:space="preserve"> from this source</w:t>
      </w:r>
      <w:r w:rsidR="00E93318">
        <w:rPr>
          <w:rFonts w:ascii="Times New Roman" w:hAnsi="Times New Roman" w:cs="Times New Roman"/>
          <w:sz w:val="24"/>
          <w:szCs w:val="24"/>
        </w:rPr>
        <w:t>.</w:t>
      </w:r>
    </w:p>
    <w:p w14:paraId="1298D789" w14:textId="77777777" w:rsidR="006534D2" w:rsidRPr="006534D2" w:rsidRDefault="006534D2" w:rsidP="00755ABC">
      <w:pPr>
        <w:pStyle w:val="ListParagraph"/>
        <w:spacing w:after="0" w:line="360" w:lineRule="auto"/>
        <w:jc w:val="both"/>
        <w:rPr>
          <w:rFonts w:ascii="Times New Roman" w:hAnsi="Times New Roman" w:cs="Times New Roman"/>
          <w:sz w:val="24"/>
          <w:szCs w:val="24"/>
        </w:rPr>
      </w:pPr>
    </w:p>
    <w:p w14:paraId="0C916DDA" w14:textId="5F04BEA9" w:rsidR="000D7B1E" w:rsidRPr="003A42A3" w:rsidRDefault="000D7B1E" w:rsidP="00451217">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The site is located within Flood Zone 3, </w:t>
      </w:r>
      <w:r w:rsidR="002913B5" w:rsidRPr="003A42A3">
        <w:rPr>
          <w:rFonts w:ascii="Times New Roman" w:hAnsi="Times New Roman" w:cs="Times New Roman"/>
          <w:sz w:val="24"/>
          <w:szCs w:val="24"/>
        </w:rPr>
        <w:t xml:space="preserve">being at High Risk of </w:t>
      </w:r>
      <w:r w:rsidR="002913B5">
        <w:rPr>
          <w:rFonts w:ascii="Times New Roman" w:hAnsi="Times New Roman" w:cs="Times New Roman"/>
          <w:sz w:val="24"/>
          <w:szCs w:val="24"/>
        </w:rPr>
        <w:t>f</w:t>
      </w:r>
      <w:r w:rsidR="002913B5" w:rsidRPr="003A42A3">
        <w:rPr>
          <w:rFonts w:ascii="Times New Roman" w:hAnsi="Times New Roman" w:cs="Times New Roman"/>
          <w:sz w:val="24"/>
          <w:szCs w:val="24"/>
        </w:rPr>
        <w:t xml:space="preserve">luvial and/or tidal flooding, however it is also within an Area Benefitting from Defences, being </w:t>
      </w:r>
      <w:r w:rsidR="002913B5">
        <w:rPr>
          <w:rFonts w:ascii="Times New Roman" w:hAnsi="Times New Roman" w:cs="Times New Roman"/>
          <w:sz w:val="24"/>
          <w:szCs w:val="24"/>
        </w:rPr>
        <w:t>defended</w:t>
      </w:r>
      <w:r w:rsidR="002913B5" w:rsidRPr="003A42A3">
        <w:rPr>
          <w:rFonts w:ascii="Times New Roman" w:hAnsi="Times New Roman" w:cs="Times New Roman"/>
          <w:sz w:val="24"/>
          <w:szCs w:val="24"/>
        </w:rPr>
        <w:t xml:space="preserve"> by both the Thames </w:t>
      </w:r>
      <w:r w:rsidR="002913B5">
        <w:rPr>
          <w:rFonts w:ascii="Times New Roman" w:hAnsi="Times New Roman" w:cs="Times New Roman"/>
          <w:sz w:val="24"/>
          <w:szCs w:val="24"/>
        </w:rPr>
        <w:t>T</w:t>
      </w:r>
      <w:r w:rsidR="002913B5" w:rsidRPr="003A42A3">
        <w:rPr>
          <w:rFonts w:ascii="Times New Roman" w:hAnsi="Times New Roman" w:cs="Times New Roman"/>
          <w:sz w:val="24"/>
          <w:szCs w:val="24"/>
        </w:rPr>
        <w:t xml:space="preserve">idal </w:t>
      </w:r>
      <w:r w:rsidR="002913B5">
        <w:rPr>
          <w:rFonts w:ascii="Times New Roman" w:hAnsi="Times New Roman" w:cs="Times New Roman"/>
          <w:sz w:val="24"/>
          <w:szCs w:val="24"/>
        </w:rPr>
        <w:t>B</w:t>
      </w:r>
      <w:r w:rsidR="002913B5" w:rsidRPr="003A42A3">
        <w:rPr>
          <w:rFonts w:ascii="Times New Roman" w:hAnsi="Times New Roman" w:cs="Times New Roman"/>
          <w:sz w:val="24"/>
          <w:szCs w:val="24"/>
        </w:rPr>
        <w:t xml:space="preserve">arrier further downstream and the </w:t>
      </w:r>
      <w:r w:rsidR="002913B5">
        <w:rPr>
          <w:rFonts w:ascii="Times New Roman" w:hAnsi="Times New Roman" w:cs="Times New Roman"/>
          <w:sz w:val="24"/>
          <w:szCs w:val="24"/>
        </w:rPr>
        <w:t xml:space="preserve">River Thames </w:t>
      </w:r>
      <w:r w:rsidR="002913B5" w:rsidRPr="003A42A3">
        <w:rPr>
          <w:rFonts w:ascii="Times New Roman" w:hAnsi="Times New Roman" w:cs="Times New Roman"/>
          <w:sz w:val="24"/>
          <w:szCs w:val="24"/>
        </w:rPr>
        <w:t>flood defence wall immediately adjacent to the eastern boundary of the site</w:t>
      </w:r>
      <w:r w:rsidR="002913B5">
        <w:rPr>
          <w:rFonts w:ascii="Times New Roman" w:hAnsi="Times New Roman" w:cs="Times New Roman"/>
          <w:sz w:val="24"/>
          <w:szCs w:val="24"/>
        </w:rPr>
        <w:t xml:space="preserve"> </w:t>
      </w:r>
      <w:r w:rsidR="002913B5" w:rsidRPr="003A42A3">
        <w:rPr>
          <w:rFonts w:ascii="Times New Roman" w:hAnsi="Times New Roman" w:cs="Times New Roman"/>
          <w:sz w:val="24"/>
          <w:szCs w:val="24"/>
        </w:rPr>
        <w:t>which will significantly reduce the risk of flooding on site. The Site is identified as being at low risk of surface water flood</w:t>
      </w:r>
      <w:r w:rsidR="002913B5">
        <w:rPr>
          <w:rFonts w:ascii="Times New Roman" w:hAnsi="Times New Roman" w:cs="Times New Roman"/>
          <w:sz w:val="24"/>
          <w:szCs w:val="24"/>
        </w:rPr>
        <w:t>ing</w:t>
      </w:r>
      <w:r w:rsidR="002913B5" w:rsidRPr="003A42A3">
        <w:rPr>
          <w:rFonts w:ascii="Times New Roman" w:hAnsi="Times New Roman" w:cs="Times New Roman"/>
          <w:sz w:val="24"/>
          <w:szCs w:val="24"/>
        </w:rPr>
        <w:t>, with an annual probability of flooding between 1 in 1000 (0.1</w:t>
      </w:r>
      <w:r w:rsidR="002913B5">
        <w:rPr>
          <w:rFonts w:ascii="Times New Roman" w:hAnsi="Times New Roman" w:cs="Times New Roman"/>
          <w:sz w:val="24"/>
          <w:szCs w:val="24"/>
        </w:rPr>
        <w:t xml:space="preserve"> </w:t>
      </w:r>
      <w:r w:rsidR="002913B5" w:rsidRPr="003A42A3">
        <w:rPr>
          <w:rFonts w:ascii="Times New Roman" w:hAnsi="Times New Roman" w:cs="Times New Roman"/>
          <w:sz w:val="24"/>
          <w:szCs w:val="24"/>
        </w:rPr>
        <w:t>%) and 1 in 100 (1</w:t>
      </w:r>
      <w:r w:rsidR="002913B5">
        <w:rPr>
          <w:rFonts w:ascii="Times New Roman" w:hAnsi="Times New Roman" w:cs="Times New Roman"/>
          <w:sz w:val="24"/>
          <w:szCs w:val="24"/>
        </w:rPr>
        <w:t xml:space="preserve"> </w:t>
      </w:r>
      <w:r w:rsidR="002913B5" w:rsidRPr="003A42A3">
        <w:rPr>
          <w:rFonts w:ascii="Times New Roman" w:hAnsi="Times New Roman" w:cs="Times New Roman"/>
          <w:sz w:val="24"/>
          <w:szCs w:val="24"/>
        </w:rPr>
        <w:t>%) and flood depths below 300</w:t>
      </w:r>
      <w:r w:rsidR="002913B5">
        <w:rPr>
          <w:rFonts w:ascii="Times New Roman" w:hAnsi="Times New Roman" w:cs="Times New Roman"/>
          <w:sz w:val="24"/>
          <w:szCs w:val="24"/>
        </w:rPr>
        <w:t xml:space="preserve"> </w:t>
      </w:r>
      <w:r w:rsidR="002913B5" w:rsidRPr="003A42A3">
        <w:rPr>
          <w:rFonts w:ascii="Times New Roman" w:hAnsi="Times New Roman" w:cs="Times New Roman"/>
          <w:sz w:val="24"/>
          <w:szCs w:val="24"/>
        </w:rPr>
        <w:t>mm. The risk of flood</w:t>
      </w:r>
      <w:r w:rsidR="002913B5">
        <w:rPr>
          <w:rFonts w:ascii="Times New Roman" w:hAnsi="Times New Roman" w:cs="Times New Roman"/>
          <w:sz w:val="24"/>
          <w:szCs w:val="24"/>
        </w:rPr>
        <w:t>ing</w:t>
      </w:r>
      <w:r w:rsidR="002913B5" w:rsidRPr="003A42A3">
        <w:rPr>
          <w:rFonts w:ascii="Times New Roman" w:hAnsi="Times New Roman" w:cs="Times New Roman"/>
          <w:sz w:val="24"/>
          <w:szCs w:val="24"/>
        </w:rPr>
        <w:t xml:space="preserve"> from sewers has also been identified as low.</w:t>
      </w:r>
      <w:r w:rsidR="002913B5">
        <w:rPr>
          <w:rFonts w:ascii="Times New Roman" w:hAnsi="Times New Roman" w:cs="Times New Roman"/>
          <w:sz w:val="24"/>
          <w:szCs w:val="24"/>
        </w:rPr>
        <w:t xml:space="preserve"> </w:t>
      </w:r>
    </w:p>
    <w:p w14:paraId="422FF7D2" w14:textId="77777777" w:rsidR="000D7B1E" w:rsidRPr="009E0174" w:rsidRDefault="000D7B1E" w:rsidP="00755ABC">
      <w:pPr>
        <w:spacing w:after="0" w:line="360" w:lineRule="auto"/>
        <w:jc w:val="both"/>
        <w:rPr>
          <w:rFonts w:ascii="Times New Roman" w:hAnsi="Times New Roman" w:cs="Times New Roman"/>
          <w:sz w:val="24"/>
          <w:szCs w:val="24"/>
        </w:rPr>
      </w:pPr>
    </w:p>
    <w:p w14:paraId="000B0346" w14:textId="6DD295A6" w:rsidR="008E45C2" w:rsidRDefault="008E45C2" w:rsidP="00451217">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A detailed Flood Risk Assessment (FRA), was undertaken by Atkins and submitted as part of the planning application in January 2019.  Following </w:t>
      </w:r>
      <w:r w:rsidR="00235CC1">
        <w:rPr>
          <w:rFonts w:ascii="Times New Roman" w:hAnsi="Times New Roman" w:cs="Times New Roman"/>
          <w:sz w:val="24"/>
          <w:szCs w:val="24"/>
        </w:rPr>
        <w:t xml:space="preserve">various </w:t>
      </w:r>
      <w:r w:rsidR="00235CC1" w:rsidRPr="003A42A3">
        <w:rPr>
          <w:rFonts w:ascii="Times New Roman" w:hAnsi="Times New Roman" w:cs="Times New Roman"/>
          <w:sz w:val="24"/>
          <w:szCs w:val="24"/>
        </w:rPr>
        <w:t>consultation</w:t>
      </w:r>
      <w:r w:rsidR="00235CC1">
        <w:rPr>
          <w:rFonts w:ascii="Times New Roman" w:hAnsi="Times New Roman" w:cs="Times New Roman"/>
          <w:sz w:val="24"/>
          <w:szCs w:val="24"/>
        </w:rPr>
        <w:t>s,</w:t>
      </w:r>
      <w:r w:rsidRPr="003A42A3">
        <w:rPr>
          <w:rFonts w:ascii="Times New Roman" w:hAnsi="Times New Roman" w:cs="Times New Roman"/>
          <w:sz w:val="24"/>
          <w:szCs w:val="24"/>
        </w:rPr>
        <w:t xml:space="preserve"> the FRA was </w:t>
      </w:r>
      <w:r w:rsidR="004C10BE" w:rsidRPr="003A42A3">
        <w:rPr>
          <w:rFonts w:ascii="Times New Roman" w:hAnsi="Times New Roman" w:cs="Times New Roman"/>
          <w:sz w:val="24"/>
          <w:szCs w:val="24"/>
        </w:rPr>
        <w:t>updated,</w:t>
      </w:r>
      <w:r w:rsidRPr="003A42A3">
        <w:rPr>
          <w:rFonts w:ascii="Times New Roman" w:hAnsi="Times New Roman" w:cs="Times New Roman"/>
          <w:sz w:val="24"/>
          <w:szCs w:val="24"/>
        </w:rPr>
        <w:t xml:space="preserve"> and submitted in July 2019.  An addendum to the FRA was submitted in October 2019 to address the outstanding issues and included the correspondence between the Environment Agency and the applicant.</w:t>
      </w:r>
    </w:p>
    <w:p w14:paraId="6BF09F66" w14:textId="77777777" w:rsidR="00304B64" w:rsidRPr="003A42A3" w:rsidRDefault="00304B64" w:rsidP="00354445">
      <w:pPr>
        <w:pStyle w:val="ListParagraph"/>
        <w:widowControl w:val="0"/>
        <w:tabs>
          <w:tab w:val="left" w:pos="821"/>
        </w:tabs>
        <w:autoSpaceDE w:val="0"/>
        <w:autoSpaceDN w:val="0"/>
        <w:spacing w:after="0" w:line="360" w:lineRule="auto"/>
        <w:ind w:right="116"/>
        <w:jc w:val="center"/>
        <w:rPr>
          <w:rFonts w:ascii="Times New Roman" w:hAnsi="Times New Roman" w:cs="Times New Roman"/>
          <w:sz w:val="24"/>
          <w:szCs w:val="24"/>
        </w:rPr>
      </w:pPr>
    </w:p>
    <w:p w14:paraId="2366AF9C" w14:textId="6B757871" w:rsidR="00CD4DC7" w:rsidRPr="00E213B2" w:rsidRDefault="005F5419" w:rsidP="00451217">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A</w:t>
      </w:r>
      <w:r w:rsidR="00CD4DC7" w:rsidRPr="003A42A3">
        <w:rPr>
          <w:rFonts w:ascii="Times New Roman" w:hAnsi="Times New Roman" w:cs="Times New Roman"/>
          <w:sz w:val="24"/>
          <w:szCs w:val="24"/>
        </w:rPr>
        <w:t xml:space="preserve"> Drainage Strategy</w:t>
      </w:r>
      <w:r w:rsidR="00E213B2">
        <w:rPr>
          <w:rFonts w:ascii="Times New Roman" w:hAnsi="Times New Roman" w:cs="Times New Roman"/>
          <w:sz w:val="24"/>
          <w:szCs w:val="24"/>
        </w:rPr>
        <w:t xml:space="preserve"> </w:t>
      </w:r>
      <w:r>
        <w:rPr>
          <w:rFonts w:ascii="Times New Roman" w:hAnsi="Times New Roman" w:cs="Times New Roman"/>
          <w:sz w:val="24"/>
          <w:szCs w:val="24"/>
        </w:rPr>
        <w:t xml:space="preserve">was undertaken which </w:t>
      </w:r>
      <w:r w:rsidR="00CD4DC7" w:rsidRPr="00E213B2">
        <w:rPr>
          <w:rFonts w:ascii="Times New Roman" w:hAnsi="Times New Roman" w:cs="Times New Roman"/>
          <w:sz w:val="24"/>
          <w:szCs w:val="24"/>
        </w:rPr>
        <w:t xml:space="preserve">demonstrates that the site can accommodate surface water run-off </w:t>
      </w:r>
      <w:r>
        <w:rPr>
          <w:rFonts w:ascii="Times New Roman" w:hAnsi="Times New Roman" w:cs="Times New Roman"/>
          <w:sz w:val="24"/>
          <w:szCs w:val="24"/>
        </w:rPr>
        <w:t>without increasing flood risk on site or elsewhere and that therefore it is</w:t>
      </w:r>
      <w:r w:rsidR="00CD4DC7" w:rsidRPr="00E213B2">
        <w:rPr>
          <w:rFonts w:ascii="Times New Roman" w:hAnsi="Times New Roman" w:cs="Times New Roman"/>
          <w:sz w:val="24"/>
          <w:szCs w:val="24"/>
        </w:rPr>
        <w:t xml:space="preserve"> considered that the Proposed Development is in accordance with national, regional and local planning policy in relation to flood risk. </w:t>
      </w:r>
    </w:p>
    <w:p w14:paraId="356BBEAD" w14:textId="77777777" w:rsidR="00CD4DC7" w:rsidRPr="00B66E07" w:rsidRDefault="00CD4DC7"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48427BDB" w14:textId="250B50B8" w:rsidR="008E45C2" w:rsidRPr="002913B5" w:rsidRDefault="00CD4DC7" w:rsidP="002913B5">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rPr>
      </w:pPr>
      <w:r w:rsidRPr="002913B5">
        <w:rPr>
          <w:rFonts w:ascii="Times New Roman" w:hAnsi="Times New Roman" w:cs="Times New Roman"/>
          <w:sz w:val="24"/>
          <w:szCs w:val="24"/>
        </w:rPr>
        <w:t>No comments were received from the G</w:t>
      </w:r>
      <w:r w:rsidR="00277747">
        <w:rPr>
          <w:rFonts w:ascii="Times New Roman" w:hAnsi="Times New Roman" w:cs="Times New Roman"/>
          <w:sz w:val="24"/>
          <w:szCs w:val="24"/>
        </w:rPr>
        <w:t xml:space="preserve">reater </w:t>
      </w:r>
      <w:r w:rsidRPr="002913B5">
        <w:rPr>
          <w:rFonts w:ascii="Times New Roman" w:hAnsi="Times New Roman" w:cs="Times New Roman"/>
          <w:sz w:val="24"/>
          <w:szCs w:val="24"/>
        </w:rPr>
        <w:t>L</w:t>
      </w:r>
      <w:r w:rsidR="00277747">
        <w:rPr>
          <w:rFonts w:ascii="Times New Roman" w:hAnsi="Times New Roman" w:cs="Times New Roman"/>
          <w:sz w:val="24"/>
          <w:szCs w:val="24"/>
        </w:rPr>
        <w:t xml:space="preserve">ondon </w:t>
      </w:r>
      <w:r w:rsidRPr="002913B5">
        <w:rPr>
          <w:rFonts w:ascii="Times New Roman" w:hAnsi="Times New Roman" w:cs="Times New Roman"/>
          <w:sz w:val="24"/>
          <w:szCs w:val="24"/>
        </w:rPr>
        <w:t>A</w:t>
      </w:r>
      <w:r w:rsidR="00277747">
        <w:rPr>
          <w:rFonts w:ascii="Times New Roman" w:hAnsi="Times New Roman" w:cs="Times New Roman"/>
          <w:sz w:val="24"/>
          <w:szCs w:val="24"/>
        </w:rPr>
        <w:t>uthority</w:t>
      </w:r>
      <w:r w:rsidRPr="002913B5">
        <w:rPr>
          <w:rFonts w:ascii="Times New Roman" w:hAnsi="Times New Roman" w:cs="Times New Roman"/>
          <w:sz w:val="24"/>
          <w:szCs w:val="24"/>
        </w:rPr>
        <w:t xml:space="preserve"> in relation to flood risk</w:t>
      </w:r>
      <w:r w:rsidR="004C1993" w:rsidRPr="002913B5">
        <w:rPr>
          <w:rFonts w:ascii="Times New Roman" w:hAnsi="Times New Roman" w:cs="Times New Roman"/>
          <w:sz w:val="24"/>
          <w:szCs w:val="24"/>
        </w:rPr>
        <w:t xml:space="preserve">. </w:t>
      </w:r>
      <w:r w:rsidRPr="002913B5">
        <w:rPr>
          <w:rFonts w:ascii="Times New Roman" w:hAnsi="Times New Roman" w:cs="Times New Roman"/>
          <w:sz w:val="24"/>
          <w:szCs w:val="24"/>
        </w:rPr>
        <w:t>WCC confirms in its Planning Sub-Committee Report that it considers the Proposed Development is in accordance with national, regional and local planning policy in relation to flood risk, subject to the Environment Agency recommended conditions</w:t>
      </w:r>
      <w:r w:rsidR="004C1993" w:rsidRPr="002913B5">
        <w:rPr>
          <w:rFonts w:ascii="Times New Roman" w:hAnsi="Times New Roman" w:cs="Times New Roman"/>
          <w:sz w:val="24"/>
          <w:szCs w:val="24"/>
        </w:rPr>
        <w:t xml:space="preserve"> and a pre</w:t>
      </w:r>
      <w:r w:rsidR="00402BA2" w:rsidRPr="002913B5">
        <w:rPr>
          <w:rFonts w:ascii="Times New Roman" w:hAnsi="Times New Roman" w:cs="Times New Roman"/>
          <w:sz w:val="24"/>
          <w:szCs w:val="24"/>
        </w:rPr>
        <w:t>-</w:t>
      </w:r>
      <w:r w:rsidR="004C1993" w:rsidRPr="002913B5">
        <w:rPr>
          <w:rFonts w:ascii="Times New Roman" w:hAnsi="Times New Roman" w:cs="Times New Roman"/>
          <w:sz w:val="24"/>
          <w:szCs w:val="24"/>
        </w:rPr>
        <w:t>commencement condition that would require a flood risk evacuation plan and fire escape plan to ensure early evacuation of the basement area, informed by the Environment Agency Flood Warnings</w:t>
      </w:r>
      <w:r w:rsidRPr="002913B5">
        <w:rPr>
          <w:rFonts w:ascii="Times New Roman" w:hAnsi="Times New Roman" w:cs="Times New Roman"/>
          <w:sz w:val="24"/>
          <w:szCs w:val="24"/>
        </w:rPr>
        <w:t>.</w:t>
      </w:r>
    </w:p>
    <w:p w14:paraId="2AAEB251" w14:textId="614605A7" w:rsidR="00304B64" w:rsidRPr="002913B5" w:rsidRDefault="00304B64" w:rsidP="002913B5">
      <w:pPr>
        <w:spacing w:after="0" w:line="360" w:lineRule="auto"/>
        <w:jc w:val="both"/>
        <w:rPr>
          <w:rFonts w:ascii="Times New Roman" w:eastAsiaTheme="minorHAnsi" w:hAnsi="Times New Roman" w:cs="Times New Roman"/>
          <w:color w:val="44546A" w:themeColor="text2"/>
          <w:sz w:val="20"/>
        </w:rPr>
      </w:pPr>
    </w:p>
    <w:p w14:paraId="11B6A675" w14:textId="220A9AC3" w:rsidR="00282F63" w:rsidRPr="003A42A3" w:rsidRDefault="00282F63" w:rsidP="002913B5">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The E</w:t>
      </w:r>
      <w:r w:rsidR="002913B5">
        <w:rPr>
          <w:rFonts w:ascii="Times New Roman" w:hAnsi="Times New Roman" w:cs="Times New Roman"/>
          <w:sz w:val="24"/>
          <w:szCs w:val="24"/>
        </w:rPr>
        <w:t>nvironment Agency w</w:t>
      </w:r>
      <w:r w:rsidRPr="003A42A3">
        <w:rPr>
          <w:rFonts w:ascii="Times New Roman" w:hAnsi="Times New Roman" w:cs="Times New Roman"/>
          <w:sz w:val="24"/>
          <w:szCs w:val="24"/>
        </w:rPr>
        <w:t>ithin its letter dated 2 December 2019</w:t>
      </w:r>
      <w:r w:rsidR="003C5EE5">
        <w:rPr>
          <w:rFonts w:ascii="Times New Roman" w:hAnsi="Times New Roman" w:cs="Times New Roman"/>
          <w:sz w:val="24"/>
          <w:szCs w:val="24"/>
        </w:rPr>
        <w:t xml:space="preserve"> </w:t>
      </w:r>
      <w:r w:rsidRPr="003A42A3">
        <w:rPr>
          <w:rFonts w:ascii="Times New Roman" w:hAnsi="Times New Roman" w:cs="Times New Roman"/>
          <w:sz w:val="24"/>
          <w:szCs w:val="24"/>
        </w:rPr>
        <w:t>recommended conditions</w:t>
      </w:r>
      <w:r w:rsidR="003A42A3" w:rsidRPr="003A42A3">
        <w:rPr>
          <w:rFonts w:ascii="Times New Roman" w:hAnsi="Times New Roman" w:cs="Times New Roman"/>
          <w:sz w:val="24"/>
          <w:szCs w:val="24"/>
        </w:rPr>
        <w:t xml:space="preserve"> </w:t>
      </w:r>
      <w:r w:rsidR="00C20A01">
        <w:rPr>
          <w:rFonts w:ascii="Times New Roman" w:hAnsi="Times New Roman" w:cs="Times New Roman"/>
          <w:sz w:val="24"/>
          <w:szCs w:val="24"/>
        </w:rPr>
        <w:t xml:space="preserve">summarised </w:t>
      </w:r>
      <w:r w:rsidR="003A42A3" w:rsidRPr="003A42A3">
        <w:rPr>
          <w:rFonts w:ascii="Times New Roman" w:hAnsi="Times New Roman" w:cs="Times New Roman"/>
          <w:sz w:val="24"/>
          <w:szCs w:val="24"/>
        </w:rPr>
        <w:t>as follows</w:t>
      </w:r>
      <w:r w:rsidR="00083809">
        <w:rPr>
          <w:rFonts w:ascii="Times New Roman" w:hAnsi="Times New Roman" w:cs="Times New Roman"/>
          <w:sz w:val="24"/>
          <w:szCs w:val="24"/>
        </w:rPr>
        <w:t>:</w:t>
      </w:r>
    </w:p>
    <w:p w14:paraId="2F5ABC68" w14:textId="36CB5598" w:rsidR="003A42A3" w:rsidRPr="005F5419" w:rsidRDefault="003A42A3" w:rsidP="005F5419">
      <w:pPr>
        <w:pStyle w:val="ListParagraph"/>
        <w:numPr>
          <w:ilvl w:val="1"/>
          <w:numId w:val="17"/>
        </w:numPr>
        <w:spacing w:after="0" w:line="360" w:lineRule="auto"/>
        <w:ind w:right="149"/>
        <w:jc w:val="both"/>
        <w:textAlignment w:val="baseline"/>
        <w:rPr>
          <w:rFonts w:ascii="Times New Roman" w:hAnsi="Times New Roman" w:cs="Times New Roman"/>
          <w:sz w:val="24"/>
          <w:szCs w:val="24"/>
        </w:rPr>
      </w:pPr>
      <w:r w:rsidRPr="005F5419">
        <w:rPr>
          <w:rFonts w:ascii="Times New Roman" w:hAnsi="Times New Roman" w:cs="Times New Roman"/>
          <w:sz w:val="24"/>
          <w:szCs w:val="24"/>
        </w:rPr>
        <w:t xml:space="preserve">A strategy for maintaining and improving the flood defences </w:t>
      </w:r>
      <w:r w:rsidR="00B34F67" w:rsidRPr="005F5419">
        <w:rPr>
          <w:rFonts w:ascii="Times New Roman" w:hAnsi="Times New Roman" w:cs="Times New Roman"/>
          <w:sz w:val="24"/>
          <w:szCs w:val="24"/>
        </w:rPr>
        <w:t>including</w:t>
      </w:r>
      <w:r w:rsidRPr="005F5419">
        <w:rPr>
          <w:rFonts w:ascii="Times New Roman" w:hAnsi="Times New Roman" w:cs="Times New Roman"/>
          <w:sz w:val="24"/>
          <w:szCs w:val="24"/>
        </w:rPr>
        <w:t xml:space="preserve"> a condition survey of the river wall and a scheme, to undertake any required improvements or repairs. </w:t>
      </w:r>
    </w:p>
    <w:p w14:paraId="185EFE14" w14:textId="00B80D55" w:rsidR="003A42A3" w:rsidRPr="005F5419" w:rsidRDefault="003A42A3" w:rsidP="001333F4">
      <w:pPr>
        <w:pStyle w:val="ListParagraph"/>
        <w:numPr>
          <w:ilvl w:val="1"/>
          <w:numId w:val="17"/>
        </w:numPr>
        <w:spacing w:after="0" w:line="360" w:lineRule="auto"/>
        <w:ind w:right="149"/>
        <w:jc w:val="both"/>
        <w:textAlignment w:val="baseline"/>
        <w:rPr>
          <w:rFonts w:ascii="Times New Roman" w:hAnsi="Times New Roman" w:cs="Times New Roman"/>
          <w:sz w:val="24"/>
          <w:szCs w:val="24"/>
        </w:rPr>
      </w:pPr>
      <w:r w:rsidRPr="005F5419">
        <w:rPr>
          <w:rFonts w:ascii="Times New Roman" w:hAnsi="Times New Roman" w:cs="Times New Roman"/>
          <w:sz w:val="24"/>
          <w:szCs w:val="24"/>
        </w:rPr>
        <w:t xml:space="preserve">If, additional improvements or repairs to the flood defence are found to be necessary, </w:t>
      </w:r>
      <w:r w:rsidR="00B34F67" w:rsidRPr="005F5419">
        <w:rPr>
          <w:rFonts w:ascii="Times New Roman" w:hAnsi="Times New Roman" w:cs="Times New Roman"/>
          <w:sz w:val="24"/>
          <w:szCs w:val="24"/>
        </w:rPr>
        <w:t xml:space="preserve">information </w:t>
      </w:r>
      <w:r w:rsidRPr="005F5419">
        <w:rPr>
          <w:rFonts w:ascii="Times New Roman" w:hAnsi="Times New Roman" w:cs="Times New Roman"/>
          <w:sz w:val="24"/>
          <w:szCs w:val="24"/>
        </w:rPr>
        <w:t xml:space="preserve">detailing how these additional works will be undertaken </w:t>
      </w:r>
      <w:r w:rsidR="00B34F67" w:rsidRPr="005F5419">
        <w:rPr>
          <w:rFonts w:ascii="Times New Roman" w:hAnsi="Times New Roman" w:cs="Times New Roman"/>
          <w:sz w:val="24"/>
          <w:szCs w:val="24"/>
        </w:rPr>
        <w:t>will be provided.</w:t>
      </w:r>
      <w:r w:rsidRPr="005F5419">
        <w:rPr>
          <w:rFonts w:ascii="Times New Roman" w:hAnsi="Times New Roman" w:cs="Times New Roman"/>
          <w:sz w:val="24"/>
          <w:szCs w:val="24"/>
        </w:rPr>
        <w:t xml:space="preserve"> </w:t>
      </w:r>
    </w:p>
    <w:p w14:paraId="0DB73C6B" w14:textId="568573E5" w:rsidR="00A9504E" w:rsidRPr="005F5419" w:rsidRDefault="003A42A3" w:rsidP="00CA0AAA">
      <w:pPr>
        <w:pStyle w:val="ListParagraph"/>
        <w:numPr>
          <w:ilvl w:val="1"/>
          <w:numId w:val="17"/>
        </w:numPr>
        <w:spacing w:after="0" w:line="360" w:lineRule="auto"/>
        <w:ind w:right="149"/>
        <w:jc w:val="both"/>
        <w:textAlignment w:val="baseline"/>
        <w:rPr>
          <w:rFonts w:ascii="Times New Roman" w:hAnsi="Times New Roman" w:cs="Times New Roman"/>
          <w:sz w:val="24"/>
          <w:szCs w:val="24"/>
        </w:rPr>
      </w:pPr>
      <w:r w:rsidRPr="005F5419">
        <w:rPr>
          <w:rFonts w:ascii="Times New Roman" w:hAnsi="Times New Roman" w:cs="Times New Roman"/>
          <w:sz w:val="24"/>
          <w:szCs w:val="24"/>
        </w:rPr>
        <w:t xml:space="preserve">The ‘Proposed site plan showing vehicle access’ shall include a 16m set back </w:t>
      </w:r>
      <w:r w:rsidR="008A42C1" w:rsidRPr="005F5419">
        <w:rPr>
          <w:rFonts w:ascii="Times New Roman" w:hAnsi="Times New Roman" w:cs="Times New Roman"/>
          <w:sz w:val="24"/>
          <w:szCs w:val="24"/>
        </w:rPr>
        <w:t>from the</w:t>
      </w:r>
      <w:r w:rsidR="00B34F67" w:rsidRPr="005F5419">
        <w:rPr>
          <w:rFonts w:ascii="Times New Roman" w:hAnsi="Times New Roman" w:cs="Times New Roman"/>
          <w:sz w:val="24"/>
          <w:szCs w:val="24"/>
        </w:rPr>
        <w:t xml:space="preserve"> </w:t>
      </w:r>
      <w:r w:rsidR="008A42C1" w:rsidRPr="005F5419">
        <w:rPr>
          <w:rFonts w:ascii="Times New Roman" w:hAnsi="Times New Roman" w:cs="Times New Roman"/>
          <w:sz w:val="24"/>
          <w:szCs w:val="24"/>
        </w:rPr>
        <w:t xml:space="preserve">flood </w:t>
      </w:r>
      <w:r w:rsidRPr="005F5419">
        <w:rPr>
          <w:rFonts w:ascii="Times New Roman" w:hAnsi="Times New Roman" w:cs="Times New Roman"/>
          <w:sz w:val="24"/>
          <w:szCs w:val="24"/>
        </w:rPr>
        <w:t xml:space="preserve">wall </w:t>
      </w:r>
      <w:r w:rsidR="00B34F67" w:rsidRPr="005F5419">
        <w:rPr>
          <w:rFonts w:ascii="Times New Roman" w:hAnsi="Times New Roman" w:cs="Times New Roman"/>
          <w:sz w:val="24"/>
          <w:szCs w:val="24"/>
        </w:rPr>
        <w:t xml:space="preserve">to ensure </w:t>
      </w:r>
      <w:r w:rsidRPr="005F5419">
        <w:rPr>
          <w:rFonts w:ascii="Times New Roman" w:hAnsi="Times New Roman" w:cs="Times New Roman"/>
          <w:sz w:val="24"/>
          <w:szCs w:val="24"/>
        </w:rPr>
        <w:t>access routes for future wall maintenance and raising works</w:t>
      </w:r>
      <w:r w:rsidR="00A9504E" w:rsidRPr="005F5419">
        <w:rPr>
          <w:rFonts w:ascii="Times New Roman" w:hAnsi="Times New Roman" w:cs="Times New Roman"/>
          <w:sz w:val="24"/>
          <w:szCs w:val="24"/>
        </w:rPr>
        <w:t>.</w:t>
      </w:r>
    </w:p>
    <w:p w14:paraId="49958FB1" w14:textId="7045D8AE" w:rsidR="003A42A3" w:rsidRPr="003A42A3" w:rsidRDefault="003A42A3" w:rsidP="00755ABC">
      <w:pPr>
        <w:pStyle w:val="ListParagraph"/>
        <w:numPr>
          <w:ilvl w:val="1"/>
          <w:numId w:val="17"/>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 xml:space="preserve">A Monitoring Action Plan (MAP) is undertaken </w:t>
      </w:r>
      <w:r w:rsidR="00B34F67">
        <w:rPr>
          <w:rFonts w:ascii="Times New Roman" w:hAnsi="Times New Roman" w:cs="Times New Roman"/>
          <w:sz w:val="24"/>
          <w:szCs w:val="24"/>
        </w:rPr>
        <w:t>to ensure that the integrity of the wall is maintained.</w:t>
      </w:r>
    </w:p>
    <w:p w14:paraId="09B64355" w14:textId="77777777" w:rsidR="003A42A3" w:rsidRPr="003A42A3" w:rsidRDefault="003A42A3" w:rsidP="00755ABC">
      <w:pPr>
        <w:pStyle w:val="ListParagraph"/>
        <w:spacing w:after="0" w:line="360" w:lineRule="auto"/>
        <w:ind w:left="1440" w:right="149"/>
        <w:jc w:val="both"/>
        <w:textAlignment w:val="baseline"/>
        <w:rPr>
          <w:rFonts w:ascii="Times New Roman" w:hAnsi="Times New Roman" w:cs="Times New Roman"/>
          <w:sz w:val="24"/>
          <w:szCs w:val="24"/>
        </w:rPr>
      </w:pPr>
    </w:p>
    <w:p w14:paraId="0F449F6B" w14:textId="23EDD927" w:rsidR="00D534E3" w:rsidRDefault="00A51636" w:rsidP="002913B5">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There are two defence</w:t>
      </w:r>
      <w:r w:rsidR="00B34F67">
        <w:rPr>
          <w:rFonts w:ascii="Times New Roman" w:hAnsi="Times New Roman" w:cs="Times New Roman"/>
          <w:sz w:val="24"/>
          <w:szCs w:val="24"/>
        </w:rPr>
        <w:t>s</w:t>
      </w:r>
      <w:r>
        <w:rPr>
          <w:rFonts w:ascii="Times New Roman" w:hAnsi="Times New Roman" w:cs="Times New Roman"/>
          <w:sz w:val="24"/>
          <w:szCs w:val="24"/>
        </w:rPr>
        <w:t xml:space="preserve"> protecting the site</w:t>
      </w:r>
      <w:r w:rsidR="00D534E3">
        <w:rPr>
          <w:rFonts w:ascii="Times New Roman" w:hAnsi="Times New Roman" w:cs="Times New Roman"/>
          <w:sz w:val="24"/>
          <w:szCs w:val="24"/>
        </w:rPr>
        <w:t>:</w:t>
      </w:r>
    </w:p>
    <w:p w14:paraId="3041D90A" w14:textId="00779863" w:rsidR="00A51636" w:rsidRPr="00143ECC" w:rsidRDefault="00D534E3" w:rsidP="00755ABC">
      <w:pPr>
        <w:pStyle w:val="ListParagraph"/>
        <w:numPr>
          <w:ilvl w:val="2"/>
          <w:numId w:val="17"/>
        </w:numPr>
        <w:spacing w:after="0" w:line="360" w:lineRule="auto"/>
        <w:ind w:left="1276" w:right="149"/>
        <w:jc w:val="both"/>
        <w:textAlignment w:val="baseline"/>
        <w:rPr>
          <w:rFonts w:ascii="Times New Roman" w:hAnsi="Times New Roman" w:cs="Times New Roman"/>
          <w:sz w:val="24"/>
          <w:szCs w:val="24"/>
        </w:rPr>
      </w:pPr>
      <w:r w:rsidRPr="00143ECC">
        <w:rPr>
          <w:rFonts w:ascii="Times New Roman" w:hAnsi="Times New Roman" w:cs="Times New Roman"/>
          <w:sz w:val="24"/>
          <w:szCs w:val="24"/>
        </w:rPr>
        <w:t>T</w:t>
      </w:r>
      <w:r w:rsidR="00A51636" w:rsidRPr="00143ECC">
        <w:rPr>
          <w:rFonts w:ascii="Times New Roman" w:hAnsi="Times New Roman" w:cs="Times New Roman"/>
          <w:sz w:val="24"/>
          <w:szCs w:val="24"/>
        </w:rPr>
        <w:t xml:space="preserve">he Thames </w:t>
      </w:r>
      <w:r w:rsidRPr="00143ECC">
        <w:rPr>
          <w:rFonts w:ascii="Times New Roman" w:hAnsi="Times New Roman" w:cs="Times New Roman"/>
          <w:sz w:val="24"/>
          <w:szCs w:val="24"/>
        </w:rPr>
        <w:t>T</w:t>
      </w:r>
      <w:r w:rsidR="00A51636" w:rsidRPr="00143ECC">
        <w:rPr>
          <w:rFonts w:ascii="Times New Roman" w:hAnsi="Times New Roman" w:cs="Times New Roman"/>
          <w:sz w:val="24"/>
          <w:szCs w:val="24"/>
        </w:rPr>
        <w:t>idal barrier which prevents tidal flood levels inundating the site.  According to the Environment Agency the “Thames Barrier and associated defence system has a 1 in 1000 year</w:t>
      </w:r>
      <w:r w:rsidR="00402BA2">
        <w:rPr>
          <w:rFonts w:ascii="Times New Roman" w:hAnsi="Times New Roman" w:cs="Times New Roman"/>
          <w:sz w:val="24"/>
          <w:szCs w:val="24"/>
        </w:rPr>
        <w:t>s</w:t>
      </w:r>
      <w:r w:rsidR="00A51636" w:rsidRPr="00143ECC">
        <w:rPr>
          <w:rFonts w:ascii="Times New Roman" w:hAnsi="Times New Roman" w:cs="Times New Roman"/>
          <w:sz w:val="24"/>
          <w:szCs w:val="24"/>
        </w:rPr>
        <w:t xml:space="preserve"> standard which means it ensures that flood risk is managed up to an event that has a 0.1% annual probability.” The </w:t>
      </w:r>
      <w:r w:rsidR="00A51636" w:rsidRPr="00143ECC">
        <w:rPr>
          <w:rFonts w:ascii="Times New Roman" w:hAnsi="Times New Roman" w:cs="Times New Roman"/>
          <w:sz w:val="24"/>
          <w:szCs w:val="24"/>
        </w:rPr>
        <w:lastRenderedPageBreak/>
        <w:t>risk of flooding and potential failure of the barrier is considered low and not in question by the Environment Agency or any other objector.</w:t>
      </w:r>
    </w:p>
    <w:p w14:paraId="73403238" w14:textId="7E30A261" w:rsidR="002A6F76" w:rsidRDefault="00D534E3" w:rsidP="00755ABC">
      <w:pPr>
        <w:pStyle w:val="ListParagraph"/>
        <w:numPr>
          <w:ilvl w:val="2"/>
          <w:numId w:val="17"/>
        </w:numPr>
        <w:spacing w:after="0" w:line="360" w:lineRule="auto"/>
        <w:ind w:left="1276" w:right="14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00A51636" w:rsidRPr="002A6F76">
        <w:rPr>
          <w:rFonts w:ascii="Times New Roman" w:hAnsi="Times New Roman" w:cs="Times New Roman"/>
          <w:sz w:val="24"/>
          <w:szCs w:val="24"/>
        </w:rPr>
        <w:t>flood wall</w:t>
      </w:r>
      <w:r w:rsidR="005F5419">
        <w:rPr>
          <w:rFonts w:ascii="Times New Roman" w:hAnsi="Times New Roman" w:cs="Times New Roman"/>
          <w:sz w:val="24"/>
          <w:szCs w:val="24"/>
        </w:rPr>
        <w:t xml:space="preserve"> </w:t>
      </w:r>
      <w:r w:rsidR="00A51636" w:rsidRPr="002A6F76">
        <w:rPr>
          <w:rFonts w:ascii="Times New Roman" w:hAnsi="Times New Roman" w:cs="Times New Roman"/>
          <w:sz w:val="24"/>
          <w:szCs w:val="24"/>
        </w:rPr>
        <w:t xml:space="preserve">along the eastern boundary of the site. </w:t>
      </w:r>
      <w:r w:rsidR="000B3B83" w:rsidRPr="002A6F76">
        <w:rPr>
          <w:rFonts w:ascii="Times New Roman" w:hAnsi="Times New Roman" w:cs="Times New Roman"/>
          <w:sz w:val="24"/>
          <w:szCs w:val="24"/>
        </w:rPr>
        <w:t>According</w:t>
      </w:r>
      <w:r w:rsidR="00A51636" w:rsidRPr="002A6F76">
        <w:rPr>
          <w:rFonts w:ascii="Times New Roman" w:hAnsi="Times New Roman" w:cs="Times New Roman"/>
          <w:sz w:val="24"/>
          <w:szCs w:val="24"/>
        </w:rPr>
        <w:t xml:space="preserve"> to the Environment Agency “The current condition grade for defences in the area is 2 (good), on a scale of 1 (very good) to 5 (very poor).</w:t>
      </w:r>
      <w:r w:rsidR="000B3B83" w:rsidRPr="002A6F76">
        <w:rPr>
          <w:rFonts w:ascii="Times New Roman" w:hAnsi="Times New Roman" w:cs="Times New Roman"/>
          <w:sz w:val="24"/>
          <w:szCs w:val="24"/>
        </w:rPr>
        <w:t>”</w:t>
      </w:r>
      <w:r w:rsidR="00C57448" w:rsidRPr="002A6F76">
        <w:rPr>
          <w:rFonts w:ascii="Times New Roman" w:hAnsi="Times New Roman" w:cs="Times New Roman"/>
          <w:sz w:val="24"/>
          <w:szCs w:val="24"/>
        </w:rPr>
        <w:t xml:space="preserve"> </w:t>
      </w:r>
      <w:r w:rsidR="005F5419">
        <w:rPr>
          <w:rFonts w:ascii="Times New Roman" w:hAnsi="Times New Roman" w:cs="Times New Roman"/>
          <w:sz w:val="24"/>
          <w:szCs w:val="24"/>
        </w:rPr>
        <w:t xml:space="preserve">The </w:t>
      </w:r>
      <w:r w:rsidR="005F5419" w:rsidRPr="002A6F76">
        <w:rPr>
          <w:rFonts w:ascii="Times New Roman" w:hAnsi="Times New Roman" w:cs="Times New Roman"/>
          <w:sz w:val="24"/>
          <w:szCs w:val="24"/>
        </w:rPr>
        <w:t xml:space="preserve">draft Strategic Flood Risk Assessment </w:t>
      </w:r>
      <w:r w:rsidR="005F5419">
        <w:rPr>
          <w:rFonts w:ascii="Times New Roman" w:hAnsi="Times New Roman" w:cs="Times New Roman"/>
          <w:sz w:val="24"/>
          <w:szCs w:val="24"/>
        </w:rPr>
        <w:t>defines that t</w:t>
      </w:r>
      <w:r w:rsidR="00C57448" w:rsidRPr="002A6F76">
        <w:rPr>
          <w:rFonts w:ascii="Times New Roman" w:hAnsi="Times New Roman" w:cs="Times New Roman"/>
          <w:sz w:val="24"/>
          <w:szCs w:val="24"/>
        </w:rPr>
        <w:t>h</w:t>
      </w:r>
      <w:r w:rsidR="005F5419">
        <w:rPr>
          <w:rFonts w:ascii="Times New Roman" w:hAnsi="Times New Roman" w:cs="Times New Roman"/>
          <w:sz w:val="24"/>
          <w:szCs w:val="24"/>
        </w:rPr>
        <w:t>is</w:t>
      </w:r>
      <w:r w:rsidR="00C57448" w:rsidRPr="002A6F76">
        <w:rPr>
          <w:rFonts w:ascii="Times New Roman" w:hAnsi="Times New Roman" w:cs="Times New Roman"/>
          <w:sz w:val="24"/>
          <w:szCs w:val="24"/>
        </w:rPr>
        <w:t xml:space="preserve"> stretch of </w:t>
      </w:r>
      <w:r w:rsidR="00F429EF" w:rsidRPr="002A6F76">
        <w:rPr>
          <w:rFonts w:ascii="Times New Roman" w:hAnsi="Times New Roman" w:cs="Times New Roman"/>
          <w:sz w:val="24"/>
          <w:szCs w:val="24"/>
        </w:rPr>
        <w:t xml:space="preserve">wall </w:t>
      </w:r>
      <w:r w:rsidR="004E7CDF" w:rsidRPr="002A6F76">
        <w:rPr>
          <w:rFonts w:ascii="Times New Roman" w:hAnsi="Times New Roman" w:cs="Times New Roman"/>
          <w:sz w:val="24"/>
          <w:szCs w:val="24"/>
        </w:rPr>
        <w:t>is</w:t>
      </w:r>
      <w:r w:rsidR="00F429EF" w:rsidRPr="002A6F76">
        <w:rPr>
          <w:rFonts w:ascii="Times New Roman" w:hAnsi="Times New Roman" w:cs="Times New Roman"/>
          <w:sz w:val="24"/>
          <w:szCs w:val="24"/>
        </w:rPr>
        <w:t xml:space="preserve"> a critical reach of Embankment Wall</w:t>
      </w:r>
      <w:r w:rsidR="00846FA8" w:rsidRPr="00BD25DC">
        <w:rPr>
          <w:rFonts w:ascii="Times New Roman" w:hAnsi="Times New Roman" w:cs="Times New Roman"/>
          <w:sz w:val="24"/>
          <w:szCs w:val="24"/>
        </w:rPr>
        <w:t>.</w:t>
      </w:r>
      <w:r w:rsidR="00846FA8" w:rsidRPr="002A6F76">
        <w:rPr>
          <w:rFonts w:ascii="Times New Roman" w:hAnsi="Times New Roman" w:cs="Times New Roman"/>
          <w:sz w:val="24"/>
          <w:szCs w:val="24"/>
        </w:rPr>
        <w:t xml:space="preserve"> It also details that</w:t>
      </w:r>
      <w:r w:rsidR="004E7CDF" w:rsidRPr="002A6F76">
        <w:rPr>
          <w:rFonts w:ascii="Times New Roman" w:hAnsi="Times New Roman" w:cs="Times New Roman"/>
          <w:sz w:val="24"/>
          <w:szCs w:val="24"/>
        </w:rPr>
        <w:t xml:space="preserve"> </w:t>
      </w:r>
      <w:r w:rsidR="00846FA8" w:rsidRPr="002A6F76">
        <w:rPr>
          <w:rFonts w:ascii="Times New Roman" w:hAnsi="Times New Roman" w:cs="Times New Roman"/>
          <w:sz w:val="24"/>
          <w:szCs w:val="24"/>
        </w:rPr>
        <w:t xml:space="preserve">the </w:t>
      </w:r>
      <w:r w:rsidR="004E7CDF" w:rsidRPr="002A6F76">
        <w:rPr>
          <w:rFonts w:ascii="Times New Roman" w:hAnsi="Times New Roman" w:cs="Times New Roman"/>
          <w:sz w:val="24"/>
          <w:szCs w:val="24"/>
        </w:rPr>
        <w:t xml:space="preserve">Thames Embankment and Wall </w:t>
      </w:r>
      <w:r w:rsidR="00846FA8" w:rsidRPr="002A6F76">
        <w:rPr>
          <w:rFonts w:ascii="Times New Roman" w:hAnsi="Times New Roman" w:cs="Times New Roman"/>
          <w:sz w:val="24"/>
          <w:szCs w:val="24"/>
        </w:rPr>
        <w:t xml:space="preserve">is under the maintenance responsibility of </w:t>
      </w:r>
      <w:r w:rsidR="004E7CDF" w:rsidRPr="002A6F76">
        <w:rPr>
          <w:rFonts w:ascii="Times New Roman" w:hAnsi="Times New Roman" w:cs="Times New Roman"/>
          <w:sz w:val="24"/>
          <w:szCs w:val="24"/>
        </w:rPr>
        <w:t>Crown/Parliamentary Works</w:t>
      </w:r>
      <w:r w:rsidR="00846FA8" w:rsidRPr="002A6F76">
        <w:rPr>
          <w:rFonts w:ascii="Times New Roman" w:hAnsi="Times New Roman" w:cs="Times New Roman"/>
          <w:sz w:val="24"/>
          <w:szCs w:val="24"/>
        </w:rPr>
        <w:t>.</w:t>
      </w:r>
      <w:r w:rsidR="002A6F76" w:rsidRPr="002A6F76">
        <w:rPr>
          <w:rFonts w:ascii="Times New Roman" w:hAnsi="Times New Roman" w:cs="Times New Roman"/>
          <w:sz w:val="24"/>
          <w:szCs w:val="24"/>
        </w:rPr>
        <w:t xml:space="preserve"> </w:t>
      </w:r>
    </w:p>
    <w:p w14:paraId="00D37DD7" w14:textId="77777777" w:rsidR="002A6F76" w:rsidRPr="002A6F76" w:rsidRDefault="002A6F76"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64254ABE" w14:textId="272AA730" w:rsidR="00377DFA" w:rsidRDefault="002A6F76" w:rsidP="002913B5">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2A6F76">
        <w:rPr>
          <w:rFonts w:ascii="Times New Roman" w:hAnsi="Times New Roman" w:cs="Times New Roman"/>
          <w:sz w:val="24"/>
          <w:szCs w:val="24"/>
        </w:rPr>
        <w:t>Paragraph 2.34 of Westminster City Plan states that Westminster is also fortunate in having excellent flood defences that will be in place for at least the duration of this plan.</w:t>
      </w:r>
    </w:p>
    <w:p w14:paraId="2A5C9EFA" w14:textId="77777777" w:rsidR="00304B64" w:rsidRPr="00304B64" w:rsidRDefault="00304B64"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7676E084" w14:textId="2C3BCC50" w:rsidR="00A51636" w:rsidRDefault="000B3B83" w:rsidP="002913B5">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However, t</w:t>
      </w:r>
      <w:r w:rsidR="00A51636" w:rsidRPr="00A51636">
        <w:rPr>
          <w:rFonts w:ascii="Times New Roman" w:hAnsi="Times New Roman" w:cs="Times New Roman"/>
          <w:sz w:val="24"/>
          <w:szCs w:val="24"/>
        </w:rPr>
        <w:t>he primary concern of the Environment Agency is ensuring that the integrity of the flood defence wall is maintained both during construction and during the development lifetime</w:t>
      </w:r>
      <w:r>
        <w:rPr>
          <w:rFonts w:ascii="Times New Roman" w:hAnsi="Times New Roman" w:cs="Times New Roman"/>
          <w:sz w:val="24"/>
          <w:szCs w:val="24"/>
        </w:rPr>
        <w:t>, to ensure flood risk is not increased to the site or adjacent properties. Also</w:t>
      </w:r>
      <w:r w:rsidR="00402BA2">
        <w:rPr>
          <w:rFonts w:ascii="Times New Roman" w:hAnsi="Times New Roman" w:cs="Times New Roman"/>
          <w:sz w:val="24"/>
          <w:szCs w:val="24"/>
        </w:rPr>
        <w:t>,</w:t>
      </w:r>
      <w:r>
        <w:rPr>
          <w:rFonts w:ascii="Times New Roman" w:hAnsi="Times New Roman" w:cs="Times New Roman"/>
          <w:sz w:val="24"/>
          <w:szCs w:val="24"/>
        </w:rPr>
        <w:t xml:space="preserve"> that the development does not impede access for future maintenance.</w:t>
      </w:r>
      <w:r w:rsidR="00A51636" w:rsidRPr="00A51636">
        <w:rPr>
          <w:rFonts w:ascii="Times New Roman" w:hAnsi="Times New Roman" w:cs="Times New Roman"/>
          <w:sz w:val="24"/>
          <w:szCs w:val="24"/>
        </w:rPr>
        <w:t xml:space="preserve"> </w:t>
      </w:r>
      <w:r w:rsidR="00667B7A">
        <w:rPr>
          <w:rFonts w:ascii="Times New Roman" w:hAnsi="Times New Roman" w:cs="Times New Roman"/>
          <w:sz w:val="24"/>
          <w:szCs w:val="24"/>
        </w:rPr>
        <w:t xml:space="preserve">Hence the </w:t>
      </w:r>
      <w:r w:rsidR="00616EFF">
        <w:rPr>
          <w:rFonts w:ascii="Times New Roman" w:hAnsi="Times New Roman" w:cs="Times New Roman"/>
          <w:sz w:val="24"/>
          <w:szCs w:val="24"/>
        </w:rPr>
        <w:t>EA’s recommended</w:t>
      </w:r>
      <w:r w:rsidR="008C28FB">
        <w:rPr>
          <w:rFonts w:ascii="Times New Roman" w:hAnsi="Times New Roman" w:cs="Times New Roman"/>
          <w:sz w:val="24"/>
          <w:szCs w:val="24"/>
        </w:rPr>
        <w:t xml:space="preserve"> </w:t>
      </w:r>
      <w:r w:rsidR="00616EFF">
        <w:rPr>
          <w:rFonts w:ascii="Times New Roman" w:hAnsi="Times New Roman" w:cs="Times New Roman"/>
          <w:sz w:val="24"/>
          <w:szCs w:val="24"/>
        </w:rPr>
        <w:t>conditions.</w:t>
      </w:r>
    </w:p>
    <w:p w14:paraId="4F05D847" w14:textId="77777777" w:rsidR="00377DFA" w:rsidRPr="00377DFA" w:rsidRDefault="00377DFA" w:rsidP="00755ABC">
      <w:pPr>
        <w:pStyle w:val="ListParagraph"/>
        <w:spacing w:after="0" w:line="360" w:lineRule="auto"/>
        <w:jc w:val="both"/>
        <w:rPr>
          <w:rFonts w:ascii="Times New Roman" w:hAnsi="Times New Roman" w:cs="Times New Roman"/>
          <w:sz w:val="24"/>
          <w:szCs w:val="24"/>
        </w:rPr>
      </w:pPr>
    </w:p>
    <w:p w14:paraId="645CDBEC" w14:textId="0D320E38" w:rsidR="00BF4DF4" w:rsidRDefault="00EC69F7" w:rsidP="002913B5">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This is also supported by</w:t>
      </w:r>
      <w:r w:rsidR="00BF4DF4" w:rsidRPr="00BF4DF4">
        <w:rPr>
          <w:rFonts w:ascii="Times New Roman" w:hAnsi="Times New Roman" w:cs="Times New Roman"/>
          <w:sz w:val="24"/>
          <w:szCs w:val="24"/>
        </w:rPr>
        <w:t xml:space="preserve"> Policy 5.12D of The London Plan</w:t>
      </w:r>
      <w:r>
        <w:rPr>
          <w:rFonts w:ascii="Times New Roman" w:hAnsi="Times New Roman" w:cs="Times New Roman"/>
          <w:sz w:val="24"/>
          <w:szCs w:val="24"/>
        </w:rPr>
        <w:t xml:space="preserve"> </w:t>
      </w:r>
      <w:r w:rsidR="002E29BA">
        <w:rPr>
          <w:rFonts w:ascii="Times New Roman" w:hAnsi="Times New Roman" w:cs="Times New Roman"/>
          <w:sz w:val="24"/>
          <w:szCs w:val="24"/>
        </w:rPr>
        <w:t xml:space="preserve">which </w:t>
      </w:r>
      <w:r w:rsidR="00BF4DF4" w:rsidRPr="00BF4DF4">
        <w:rPr>
          <w:rFonts w:ascii="Times New Roman" w:hAnsi="Times New Roman" w:cs="Times New Roman"/>
          <w:sz w:val="24"/>
          <w:szCs w:val="24"/>
        </w:rPr>
        <w:t>advises that development adjacent to existing flood defences must protect their integrity and wherever possible should be set back from the banks of watercourses to allow for the management, maintenance and upgrading of defences to be undertaken in a sustainable and cost effective way.</w:t>
      </w:r>
    </w:p>
    <w:p w14:paraId="6773FC48" w14:textId="77777777" w:rsidR="00377DFA" w:rsidRPr="00377DFA" w:rsidRDefault="00377DFA" w:rsidP="00755ABC">
      <w:pPr>
        <w:pStyle w:val="ListParagraph"/>
        <w:spacing w:after="0" w:line="360" w:lineRule="auto"/>
        <w:jc w:val="both"/>
        <w:rPr>
          <w:rFonts w:ascii="Times New Roman" w:hAnsi="Times New Roman" w:cs="Times New Roman"/>
          <w:sz w:val="24"/>
          <w:szCs w:val="24"/>
        </w:rPr>
      </w:pPr>
    </w:p>
    <w:p w14:paraId="3A643813" w14:textId="517E20C4" w:rsidR="00282F63" w:rsidRPr="00A51636" w:rsidRDefault="002E29BA" w:rsidP="002913B5">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 </w:t>
      </w:r>
      <w:r w:rsidR="00282F63" w:rsidRPr="00A51636">
        <w:rPr>
          <w:rFonts w:ascii="Times New Roman" w:hAnsi="Times New Roman" w:cs="Times New Roman"/>
          <w:sz w:val="24"/>
          <w:szCs w:val="24"/>
        </w:rPr>
        <w:t xml:space="preserve">I consider that the recommended conditions are all reasonable and pertinent to ensuring compliance with </w:t>
      </w:r>
      <w:r w:rsidR="00D534E3">
        <w:rPr>
          <w:rFonts w:ascii="Times New Roman" w:hAnsi="Times New Roman" w:cs="Times New Roman"/>
          <w:sz w:val="24"/>
          <w:szCs w:val="24"/>
        </w:rPr>
        <w:t xml:space="preserve">National, </w:t>
      </w:r>
      <w:r w:rsidR="00667B7A">
        <w:rPr>
          <w:rFonts w:ascii="Times New Roman" w:hAnsi="Times New Roman" w:cs="Times New Roman"/>
          <w:sz w:val="24"/>
          <w:szCs w:val="24"/>
        </w:rPr>
        <w:t xml:space="preserve">Strategic </w:t>
      </w:r>
      <w:r w:rsidR="00D534E3">
        <w:rPr>
          <w:rFonts w:ascii="Times New Roman" w:hAnsi="Times New Roman" w:cs="Times New Roman"/>
          <w:sz w:val="24"/>
          <w:szCs w:val="24"/>
        </w:rPr>
        <w:t xml:space="preserve">and Local Policies </w:t>
      </w:r>
      <w:r w:rsidR="00282F63" w:rsidRPr="00A51636">
        <w:rPr>
          <w:rFonts w:ascii="Times New Roman" w:hAnsi="Times New Roman" w:cs="Times New Roman"/>
          <w:sz w:val="24"/>
          <w:szCs w:val="24"/>
        </w:rPr>
        <w:t xml:space="preserve">and to ensure that flood risk </w:t>
      </w:r>
      <w:r w:rsidR="00A9504E" w:rsidRPr="00A51636">
        <w:rPr>
          <w:rFonts w:ascii="Times New Roman" w:hAnsi="Times New Roman" w:cs="Times New Roman"/>
          <w:sz w:val="24"/>
          <w:szCs w:val="24"/>
        </w:rPr>
        <w:t xml:space="preserve">for the lifetime of the development when taking climate change into </w:t>
      </w:r>
      <w:r w:rsidR="000B3B83" w:rsidRPr="00A51636">
        <w:rPr>
          <w:rFonts w:ascii="Times New Roman" w:hAnsi="Times New Roman" w:cs="Times New Roman"/>
          <w:sz w:val="24"/>
          <w:szCs w:val="24"/>
        </w:rPr>
        <w:t>account, to</w:t>
      </w:r>
      <w:r w:rsidR="00282F63" w:rsidRPr="00A51636">
        <w:rPr>
          <w:rFonts w:ascii="Times New Roman" w:hAnsi="Times New Roman" w:cs="Times New Roman"/>
          <w:sz w:val="24"/>
          <w:szCs w:val="24"/>
        </w:rPr>
        <w:t xml:space="preserve"> the </w:t>
      </w:r>
      <w:r w:rsidR="003A42A3" w:rsidRPr="00A51636">
        <w:rPr>
          <w:rFonts w:ascii="Times New Roman" w:hAnsi="Times New Roman" w:cs="Times New Roman"/>
          <w:sz w:val="24"/>
          <w:szCs w:val="24"/>
        </w:rPr>
        <w:t>development</w:t>
      </w:r>
      <w:r w:rsidR="00282F63" w:rsidRPr="00A51636">
        <w:rPr>
          <w:rFonts w:ascii="Times New Roman" w:hAnsi="Times New Roman" w:cs="Times New Roman"/>
          <w:sz w:val="24"/>
          <w:szCs w:val="24"/>
        </w:rPr>
        <w:t xml:space="preserve"> and surrounding areas is acceptable.</w:t>
      </w:r>
      <w:r w:rsidR="00076BB0">
        <w:rPr>
          <w:rFonts w:ascii="Times New Roman" w:hAnsi="Times New Roman" w:cs="Times New Roman"/>
          <w:sz w:val="24"/>
          <w:szCs w:val="24"/>
        </w:rPr>
        <w:t xml:space="preserve"> I consider that given the existing </w:t>
      </w:r>
      <w:r w:rsidR="00C07776">
        <w:rPr>
          <w:rFonts w:ascii="Times New Roman" w:hAnsi="Times New Roman" w:cs="Times New Roman"/>
          <w:sz w:val="24"/>
          <w:szCs w:val="24"/>
        </w:rPr>
        <w:t xml:space="preserve">condition of the wall and the </w:t>
      </w:r>
      <w:r w:rsidR="00377DFA">
        <w:rPr>
          <w:rFonts w:ascii="Times New Roman" w:hAnsi="Times New Roman" w:cs="Times New Roman"/>
          <w:sz w:val="24"/>
          <w:szCs w:val="24"/>
        </w:rPr>
        <w:t xml:space="preserve">supporting </w:t>
      </w:r>
      <w:r w:rsidR="00C07776">
        <w:rPr>
          <w:rFonts w:ascii="Times New Roman" w:hAnsi="Times New Roman" w:cs="Times New Roman"/>
          <w:sz w:val="24"/>
          <w:szCs w:val="24"/>
        </w:rPr>
        <w:t xml:space="preserve">survey already completed by the applicant that </w:t>
      </w:r>
      <w:r w:rsidR="00D534E3">
        <w:rPr>
          <w:rFonts w:ascii="Times New Roman" w:hAnsi="Times New Roman" w:cs="Times New Roman"/>
          <w:sz w:val="24"/>
          <w:szCs w:val="24"/>
        </w:rPr>
        <w:t xml:space="preserve">any </w:t>
      </w:r>
      <w:r w:rsidR="00377DFA">
        <w:rPr>
          <w:rFonts w:ascii="Times New Roman" w:hAnsi="Times New Roman" w:cs="Times New Roman"/>
          <w:sz w:val="24"/>
          <w:szCs w:val="24"/>
        </w:rPr>
        <w:t xml:space="preserve">additional assessment </w:t>
      </w:r>
      <w:r w:rsidR="00D534E3">
        <w:rPr>
          <w:rFonts w:ascii="Times New Roman" w:hAnsi="Times New Roman" w:cs="Times New Roman"/>
          <w:sz w:val="24"/>
          <w:szCs w:val="24"/>
        </w:rPr>
        <w:t xml:space="preserve">requirements </w:t>
      </w:r>
      <w:r w:rsidR="00377DFA">
        <w:rPr>
          <w:rFonts w:ascii="Times New Roman" w:hAnsi="Times New Roman" w:cs="Times New Roman"/>
          <w:sz w:val="24"/>
          <w:szCs w:val="24"/>
        </w:rPr>
        <w:t xml:space="preserve">could reasonably be </w:t>
      </w:r>
      <w:r w:rsidR="00667B7A">
        <w:rPr>
          <w:rFonts w:ascii="Times New Roman" w:hAnsi="Times New Roman" w:cs="Times New Roman"/>
          <w:sz w:val="24"/>
          <w:szCs w:val="24"/>
        </w:rPr>
        <w:t xml:space="preserve">secured </w:t>
      </w:r>
      <w:r w:rsidR="00255595">
        <w:rPr>
          <w:rFonts w:ascii="Times New Roman" w:hAnsi="Times New Roman" w:cs="Times New Roman"/>
          <w:sz w:val="24"/>
          <w:szCs w:val="24"/>
        </w:rPr>
        <w:t>by conditions</w:t>
      </w:r>
      <w:r w:rsidR="00377DFA">
        <w:rPr>
          <w:rFonts w:ascii="Times New Roman" w:hAnsi="Times New Roman" w:cs="Times New Roman"/>
          <w:sz w:val="24"/>
          <w:szCs w:val="24"/>
        </w:rPr>
        <w:t>.</w:t>
      </w:r>
    </w:p>
    <w:p w14:paraId="26377D9D" w14:textId="77777777" w:rsidR="00B75E84" w:rsidRPr="009E0174" w:rsidRDefault="00B75E84" w:rsidP="00755ABC">
      <w:pPr>
        <w:spacing w:after="0" w:line="360" w:lineRule="auto"/>
        <w:jc w:val="both"/>
        <w:rPr>
          <w:rFonts w:ascii="Times New Roman" w:hAnsi="Times New Roman" w:cs="Times New Roman"/>
        </w:rPr>
      </w:pPr>
    </w:p>
    <w:p w14:paraId="39DAAB61" w14:textId="10B96C7E" w:rsidR="008E45C2" w:rsidRDefault="008E45C2" w:rsidP="00C6288A">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lastRenderedPageBreak/>
        <w:t>The following co</w:t>
      </w:r>
      <w:r w:rsidR="00277747">
        <w:rPr>
          <w:rFonts w:ascii="Times New Roman" w:hAnsi="Times New Roman" w:cs="Times New Roman"/>
          <w:sz w:val="24"/>
          <w:szCs w:val="24"/>
        </w:rPr>
        <w:t>ncerns</w:t>
      </w:r>
      <w:r w:rsidRPr="003A42A3">
        <w:rPr>
          <w:rFonts w:ascii="Times New Roman" w:hAnsi="Times New Roman" w:cs="Times New Roman"/>
          <w:sz w:val="24"/>
          <w:szCs w:val="24"/>
        </w:rPr>
        <w:t xml:space="preserve"> have been received from The Thorney Island Society (TTIS) in relation to flood risk</w:t>
      </w:r>
      <w:r w:rsidR="00907300">
        <w:rPr>
          <w:rFonts w:ascii="Times New Roman" w:hAnsi="Times New Roman" w:cs="Times New Roman"/>
          <w:sz w:val="24"/>
          <w:szCs w:val="24"/>
        </w:rPr>
        <w:t>.</w:t>
      </w:r>
    </w:p>
    <w:p w14:paraId="3483CF27" w14:textId="3CD6058A" w:rsidR="00277747" w:rsidRDefault="00277747" w:rsidP="00277747">
      <w:pPr>
        <w:pStyle w:val="ListParagraph"/>
        <w:widowControl w:val="0"/>
        <w:numPr>
          <w:ilvl w:val="1"/>
          <w:numId w:val="18"/>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Flooding from the Sewer system, as “basements were flooded very recently during heavy rain”</w:t>
      </w:r>
    </w:p>
    <w:p w14:paraId="72A368ED" w14:textId="042ABF2B" w:rsidR="00277747" w:rsidRPr="003A42A3" w:rsidRDefault="00277747" w:rsidP="00277747">
      <w:pPr>
        <w:pStyle w:val="ListParagraph"/>
        <w:widowControl w:val="0"/>
        <w:numPr>
          <w:ilvl w:val="2"/>
          <w:numId w:val="18"/>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The Flood Risk Assessment acknowledges that should there be a breach in the riverwall flood defence (as well as failure in the Thames tidal barrier), rapid inundation of the Holocaust Memorial Learning Centre basement areas would occur. </w:t>
      </w:r>
      <w:r w:rsidR="005F5419">
        <w:rPr>
          <w:rFonts w:ascii="Times New Roman" w:hAnsi="Times New Roman" w:cs="Times New Roman"/>
          <w:sz w:val="24"/>
          <w:szCs w:val="24"/>
        </w:rPr>
        <w:t>T</w:t>
      </w:r>
      <w:r>
        <w:rPr>
          <w:rFonts w:ascii="Times New Roman" w:hAnsi="Times New Roman" w:cs="Times New Roman"/>
          <w:sz w:val="24"/>
          <w:szCs w:val="24"/>
        </w:rPr>
        <w:t>he FRA</w:t>
      </w:r>
      <w:r w:rsidRPr="003A42A3">
        <w:rPr>
          <w:rFonts w:ascii="Times New Roman" w:hAnsi="Times New Roman" w:cs="Times New Roman"/>
          <w:sz w:val="24"/>
          <w:szCs w:val="24"/>
        </w:rPr>
        <w:t xml:space="preserve"> also acknowledges the historic flooding to the site. </w:t>
      </w:r>
    </w:p>
    <w:p w14:paraId="799F62EF" w14:textId="57ABAE66" w:rsidR="00277747" w:rsidRDefault="00277747" w:rsidP="00277747">
      <w:pPr>
        <w:pStyle w:val="ListParagraph"/>
        <w:widowControl w:val="0"/>
        <w:numPr>
          <w:ilvl w:val="2"/>
          <w:numId w:val="18"/>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The Ground Movement Assessment</w:t>
      </w:r>
      <w:r>
        <w:rPr>
          <w:rFonts w:ascii="Times New Roman" w:hAnsi="Times New Roman" w:cs="Times New Roman"/>
          <w:sz w:val="24"/>
          <w:szCs w:val="24"/>
        </w:rPr>
        <w:t xml:space="preserve"> </w:t>
      </w:r>
      <w:r w:rsidRPr="009E0174">
        <w:rPr>
          <w:rFonts w:ascii="Times New Roman" w:hAnsi="Times New Roman" w:cs="Times New Roman"/>
          <w:sz w:val="24"/>
          <w:szCs w:val="24"/>
        </w:rPr>
        <w:t>details the construction methodology of the building and basement areas, which includes a minimum of 1.0m depth piling into the London Clay in order to prevent the inundation of groundwater.</w:t>
      </w:r>
    </w:p>
    <w:p w14:paraId="2A4328E4" w14:textId="3AFBD126" w:rsidR="00277747" w:rsidRPr="009E0174" w:rsidRDefault="00277747" w:rsidP="00277747">
      <w:pPr>
        <w:pStyle w:val="ListParagraph"/>
        <w:widowControl w:val="0"/>
        <w:numPr>
          <w:ilvl w:val="2"/>
          <w:numId w:val="18"/>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The Drainage Strategy demonstrates that the run-off from the development will be managed on site within the drainage system for all events up to the 1 in 100 year plus 40</w:t>
      </w:r>
      <w:r>
        <w:rPr>
          <w:rFonts w:ascii="Times New Roman" w:hAnsi="Times New Roman" w:cs="Times New Roman"/>
          <w:sz w:val="24"/>
          <w:szCs w:val="24"/>
        </w:rPr>
        <w:t xml:space="preserve"> </w:t>
      </w:r>
      <w:r w:rsidRPr="009E0174">
        <w:rPr>
          <w:rFonts w:ascii="Times New Roman" w:hAnsi="Times New Roman" w:cs="Times New Roman"/>
          <w:sz w:val="24"/>
          <w:szCs w:val="24"/>
        </w:rPr>
        <w:t>% climate change flood event</w:t>
      </w:r>
      <w:r>
        <w:rPr>
          <w:rFonts w:ascii="Times New Roman" w:hAnsi="Times New Roman" w:cs="Times New Roman"/>
          <w:sz w:val="24"/>
          <w:szCs w:val="24"/>
        </w:rPr>
        <w:t xml:space="preserve"> therefore not increasing flood risk to the site or elsewhere.</w:t>
      </w:r>
      <w:r w:rsidRPr="00277747">
        <w:rPr>
          <w:rFonts w:ascii="Times New Roman" w:hAnsi="Times New Roman" w:cs="Times New Roman"/>
          <w:sz w:val="24"/>
          <w:szCs w:val="24"/>
        </w:rPr>
        <w:t xml:space="preserve"> </w:t>
      </w:r>
      <w:r>
        <w:rPr>
          <w:rFonts w:ascii="Times New Roman" w:hAnsi="Times New Roman" w:cs="Times New Roman"/>
          <w:sz w:val="24"/>
          <w:szCs w:val="24"/>
        </w:rPr>
        <w:t>In the short term this would provide a reduction in surface water coming from the site into the Thames Water System, reducing the impact of any associated flooding on the sewer network.</w:t>
      </w:r>
    </w:p>
    <w:p w14:paraId="5E62B644" w14:textId="71487466" w:rsidR="00A01573" w:rsidRPr="00C6288A" w:rsidRDefault="00277747" w:rsidP="000811DE">
      <w:pPr>
        <w:pStyle w:val="ListParagraph"/>
        <w:widowControl w:val="0"/>
        <w:numPr>
          <w:ilvl w:val="2"/>
          <w:numId w:val="18"/>
        </w:numPr>
        <w:autoSpaceDE w:val="0"/>
        <w:autoSpaceDN w:val="0"/>
        <w:spacing w:after="0" w:line="360" w:lineRule="auto"/>
        <w:ind w:right="116"/>
        <w:jc w:val="both"/>
        <w:textAlignment w:val="baseline"/>
        <w:rPr>
          <w:rFonts w:ascii="Times New Roman" w:hAnsi="Times New Roman" w:cs="Times New Roman"/>
          <w:sz w:val="24"/>
          <w:szCs w:val="24"/>
        </w:rPr>
      </w:pPr>
      <w:r w:rsidRPr="00C6288A">
        <w:rPr>
          <w:rFonts w:ascii="Times New Roman" w:hAnsi="Times New Roman" w:cs="Times New Roman"/>
          <w:sz w:val="24"/>
          <w:szCs w:val="24"/>
        </w:rPr>
        <w:t>In order to mitigate the residual risk to its occupants, were the basement to be flooded (from any source), a detailed evacuation procedure is recommended by the FRA</w:t>
      </w:r>
      <w:r w:rsidR="00354445">
        <w:rPr>
          <w:rFonts w:ascii="Times New Roman" w:hAnsi="Times New Roman" w:cs="Times New Roman"/>
          <w:sz w:val="24"/>
          <w:szCs w:val="24"/>
        </w:rPr>
        <w:t>, EA and WCC</w:t>
      </w:r>
      <w:r w:rsidRPr="00C6288A">
        <w:rPr>
          <w:rFonts w:ascii="Times New Roman" w:hAnsi="Times New Roman" w:cs="Times New Roman"/>
          <w:sz w:val="24"/>
          <w:szCs w:val="24"/>
        </w:rPr>
        <w:t xml:space="preserve"> to ensure early evacuation of the basement area prior to any breach of the flood defences or surface water sewerage system exceedance. </w:t>
      </w:r>
    </w:p>
    <w:p w14:paraId="10641478" w14:textId="11247299" w:rsidR="008E45C2" w:rsidRDefault="00C6288A" w:rsidP="00C6288A">
      <w:pPr>
        <w:pStyle w:val="ListParagraph"/>
        <w:widowControl w:val="0"/>
        <w:numPr>
          <w:ilvl w:val="1"/>
          <w:numId w:val="18"/>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As of 15-5-19 </w:t>
      </w:r>
      <w:r w:rsidR="008E45C2" w:rsidRPr="003A42A3">
        <w:rPr>
          <w:rFonts w:ascii="Times New Roman" w:hAnsi="Times New Roman" w:cs="Times New Roman"/>
          <w:sz w:val="24"/>
          <w:szCs w:val="24"/>
        </w:rPr>
        <w:t xml:space="preserve">TTIS </w:t>
      </w:r>
      <w:r>
        <w:rPr>
          <w:rFonts w:ascii="Times New Roman" w:hAnsi="Times New Roman" w:cs="Times New Roman"/>
          <w:sz w:val="24"/>
          <w:szCs w:val="24"/>
        </w:rPr>
        <w:t xml:space="preserve">highlighted that </w:t>
      </w:r>
      <w:r w:rsidR="008E45C2" w:rsidRPr="003A42A3">
        <w:rPr>
          <w:rFonts w:ascii="Times New Roman" w:hAnsi="Times New Roman" w:cs="Times New Roman"/>
          <w:sz w:val="24"/>
          <w:szCs w:val="24"/>
        </w:rPr>
        <w:t xml:space="preserve">the Environment Agency </w:t>
      </w:r>
      <w:r>
        <w:rPr>
          <w:rFonts w:ascii="Times New Roman" w:hAnsi="Times New Roman" w:cs="Times New Roman"/>
          <w:sz w:val="24"/>
          <w:szCs w:val="24"/>
        </w:rPr>
        <w:t>still had “serious concerns” and has not received sufficient information to</w:t>
      </w:r>
      <w:r w:rsidR="008E45C2" w:rsidRPr="003A42A3">
        <w:rPr>
          <w:rFonts w:ascii="Times New Roman" w:hAnsi="Times New Roman" w:cs="Times New Roman"/>
          <w:sz w:val="24"/>
          <w:szCs w:val="24"/>
        </w:rPr>
        <w:t xml:space="preserve"> grant a flood risk activity permit. </w:t>
      </w:r>
    </w:p>
    <w:p w14:paraId="617CAFD7" w14:textId="43098D93" w:rsidR="00907300" w:rsidRPr="00C6288A" w:rsidRDefault="00C6288A" w:rsidP="00C6288A">
      <w:pPr>
        <w:pStyle w:val="ListParagraph"/>
        <w:numPr>
          <w:ilvl w:val="2"/>
          <w:numId w:val="18"/>
        </w:numPr>
        <w:spacing w:after="0" w:line="360" w:lineRule="auto"/>
        <w:ind w:right="14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008E45C2" w:rsidRPr="003A42A3">
        <w:rPr>
          <w:rFonts w:ascii="Times New Roman" w:hAnsi="Times New Roman" w:cs="Times New Roman"/>
          <w:sz w:val="24"/>
          <w:szCs w:val="24"/>
        </w:rPr>
        <w:t>FRA was updated in July 2019 and a FRA addendum was submitted in October 2019.  The Environment Agency subsequently removed its objection (letter dated 2 December 2019).</w:t>
      </w:r>
    </w:p>
    <w:p w14:paraId="3140D3E0" w14:textId="62F96F1A" w:rsidR="008E45C2" w:rsidRPr="00C6288A" w:rsidRDefault="00C6288A" w:rsidP="00C6288A">
      <w:pPr>
        <w:pStyle w:val="ListParagraph"/>
        <w:widowControl w:val="0"/>
        <w:numPr>
          <w:ilvl w:val="1"/>
          <w:numId w:val="18"/>
        </w:numPr>
        <w:tabs>
          <w:tab w:val="left" w:pos="821"/>
        </w:tabs>
        <w:autoSpaceDE w:val="0"/>
        <w:autoSpaceDN w:val="0"/>
        <w:spacing w:after="0" w:line="360" w:lineRule="auto"/>
        <w:ind w:right="116"/>
        <w:jc w:val="both"/>
        <w:rPr>
          <w:rFonts w:ascii="Times New Roman" w:hAnsi="Times New Roman" w:cs="Times New Roman"/>
          <w:sz w:val="24"/>
          <w:szCs w:val="24"/>
        </w:rPr>
      </w:pPr>
      <w:r w:rsidRPr="00C6288A">
        <w:rPr>
          <w:rFonts w:ascii="Times New Roman" w:hAnsi="Times New Roman" w:cs="Times New Roman"/>
          <w:sz w:val="24"/>
          <w:szCs w:val="24"/>
        </w:rPr>
        <w:t xml:space="preserve">As of </w:t>
      </w:r>
      <w:r w:rsidR="00907300" w:rsidRPr="00C6288A">
        <w:rPr>
          <w:rFonts w:ascii="Times New Roman" w:hAnsi="Times New Roman" w:cs="Times New Roman"/>
          <w:sz w:val="24"/>
          <w:szCs w:val="24"/>
        </w:rPr>
        <w:t>3-12-1</w:t>
      </w:r>
      <w:r w:rsidR="004D4A13" w:rsidRPr="00C6288A">
        <w:rPr>
          <w:rFonts w:ascii="Times New Roman" w:hAnsi="Times New Roman" w:cs="Times New Roman"/>
          <w:sz w:val="24"/>
          <w:szCs w:val="24"/>
        </w:rPr>
        <w:t>9</w:t>
      </w:r>
      <w:r w:rsidRPr="00C6288A">
        <w:rPr>
          <w:rFonts w:ascii="Times New Roman" w:hAnsi="Times New Roman" w:cs="Times New Roman"/>
          <w:sz w:val="24"/>
          <w:szCs w:val="24"/>
        </w:rPr>
        <w:t xml:space="preserve"> The TTIS </w:t>
      </w:r>
      <w:r>
        <w:rPr>
          <w:rFonts w:ascii="Times New Roman" w:hAnsi="Times New Roman" w:cs="Times New Roman"/>
          <w:sz w:val="24"/>
          <w:szCs w:val="24"/>
        </w:rPr>
        <w:t xml:space="preserve">were concerned regarding the works within 16m of the flood wall including ability for future maintenance and that the </w:t>
      </w:r>
      <w:r>
        <w:rPr>
          <w:rFonts w:ascii="Times New Roman" w:hAnsi="Times New Roman" w:cs="Times New Roman"/>
          <w:sz w:val="24"/>
          <w:szCs w:val="24"/>
        </w:rPr>
        <w:lastRenderedPageBreak/>
        <w:t xml:space="preserve">proposed solution had not been agreed by the Environment Agency for planning or flood risk activity permit purposes. </w:t>
      </w:r>
    </w:p>
    <w:p w14:paraId="512AB48D" w14:textId="63C44AA5" w:rsidR="008E45C2" w:rsidRDefault="008E45C2" w:rsidP="00C6288A">
      <w:pPr>
        <w:pStyle w:val="ListParagraph"/>
        <w:numPr>
          <w:ilvl w:val="2"/>
          <w:numId w:val="14"/>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 xml:space="preserve">The Environment Agency </w:t>
      </w:r>
      <w:r w:rsidR="00F91387">
        <w:rPr>
          <w:rFonts w:ascii="Times New Roman" w:hAnsi="Times New Roman" w:cs="Times New Roman"/>
          <w:sz w:val="24"/>
          <w:szCs w:val="24"/>
        </w:rPr>
        <w:t xml:space="preserve">subsequently </w:t>
      </w:r>
      <w:r w:rsidRPr="003A42A3">
        <w:rPr>
          <w:rFonts w:ascii="Times New Roman" w:hAnsi="Times New Roman" w:cs="Times New Roman"/>
          <w:sz w:val="24"/>
          <w:szCs w:val="24"/>
        </w:rPr>
        <w:t>removed its objection</w:t>
      </w:r>
      <w:r w:rsidR="00F91387">
        <w:rPr>
          <w:rFonts w:ascii="Times New Roman" w:hAnsi="Times New Roman" w:cs="Times New Roman"/>
          <w:sz w:val="24"/>
          <w:szCs w:val="24"/>
        </w:rPr>
        <w:t xml:space="preserve"> which included</w:t>
      </w:r>
      <w:r w:rsidR="00EE31D3">
        <w:rPr>
          <w:rFonts w:ascii="Times New Roman" w:hAnsi="Times New Roman" w:cs="Times New Roman"/>
          <w:sz w:val="24"/>
          <w:szCs w:val="24"/>
        </w:rPr>
        <w:t xml:space="preserve"> acknowledgement of the </w:t>
      </w:r>
      <w:r w:rsidR="005E3BEE">
        <w:rPr>
          <w:rFonts w:ascii="Times New Roman" w:hAnsi="Times New Roman" w:cs="Times New Roman"/>
          <w:sz w:val="24"/>
          <w:szCs w:val="24"/>
        </w:rPr>
        <w:t>investigation and validation of the location of the foundations of the existing wall</w:t>
      </w:r>
      <w:r w:rsidR="00F91387">
        <w:rPr>
          <w:rFonts w:ascii="Times New Roman" w:hAnsi="Times New Roman" w:cs="Times New Roman"/>
          <w:sz w:val="24"/>
          <w:szCs w:val="24"/>
        </w:rPr>
        <w:t xml:space="preserve">. </w:t>
      </w:r>
      <w:r w:rsidR="00354445">
        <w:rPr>
          <w:rFonts w:ascii="Times New Roman" w:hAnsi="Times New Roman" w:cs="Times New Roman"/>
          <w:sz w:val="24"/>
          <w:szCs w:val="24"/>
        </w:rPr>
        <w:t>The applicant recognises</w:t>
      </w:r>
      <w:r w:rsidR="005E3BEE">
        <w:rPr>
          <w:rFonts w:ascii="Times New Roman" w:hAnsi="Times New Roman" w:cs="Times New Roman"/>
          <w:sz w:val="24"/>
          <w:szCs w:val="24"/>
        </w:rPr>
        <w:t xml:space="preserve"> that a Permit will be required for works </w:t>
      </w:r>
      <w:r w:rsidR="00FA4D68">
        <w:rPr>
          <w:rFonts w:ascii="Times New Roman" w:hAnsi="Times New Roman" w:cs="Times New Roman"/>
          <w:sz w:val="24"/>
          <w:szCs w:val="24"/>
        </w:rPr>
        <w:t xml:space="preserve">to the wall and </w:t>
      </w:r>
      <w:r w:rsidR="005E3BEE">
        <w:rPr>
          <w:rFonts w:ascii="Times New Roman" w:hAnsi="Times New Roman" w:cs="Times New Roman"/>
          <w:sz w:val="24"/>
          <w:szCs w:val="24"/>
        </w:rPr>
        <w:t xml:space="preserve">within 16m such as the demountable seating area. </w:t>
      </w:r>
    </w:p>
    <w:p w14:paraId="640551D9" w14:textId="00FE2A60" w:rsidR="008E45C2" w:rsidRDefault="00F91387" w:rsidP="00F91387">
      <w:pPr>
        <w:pStyle w:val="ListParagraph"/>
        <w:widowControl w:val="0"/>
        <w:numPr>
          <w:ilvl w:val="1"/>
          <w:numId w:val="18"/>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The TTIS </w:t>
      </w:r>
      <w:r w:rsidR="008E45C2" w:rsidRPr="00627E17">
        <w:rPr>
          <w:rFonts w:ascii="Times New Roman" w:hAnsi="Times New Roman" w:cs="Times New Roman"/>
          <w:sz w:val="24"/>
          <w:szCs w:val="24"/>
        </w:rPr>
        <w:t xml:space="preserve">Statement of Case </w:t>
      </w:r>
      <w:r>
        <w:rPr>
          <w:rFonts w:ascii="Times New Roman" w:hAnsi="Times New Roman" w:cs="Times New Roman"/>
          <w:sz w:val="24"/>
          <w:szCs w:val="24"/>
        </w:rPr>
        <w:t>states that</w:t>
      </w:r>
      <w:r w:rsidR="00627E17">
        <w:rPr>
          <w:rFonts w:ascii="Times New Roman" w:hAnsi="Times New Roman" w:cs="Times New Roman"/>
          <w:sz w:val="24"/>
          <w:szCs w:val="24"/>
        </w:rPr>
        <w:t xml:space="preserve"> </w:t>
      </w:r>
      <w:r w:rsidR="008E45C2" w:rsidRPr="00627E17">
        <w:rPr>
          <w:rFonts w:ascii="Times New Roman" w:hAnsi="Times New Roman" w:cs="Times New Roman"/>
          <w:sz w:val="24"/>
          <w:szCs w:val="24"/>
        </w:rPr>
        <w:t>“TTIS remains very concerned about this issue</w:t>
      </w:r>
      <w:r>
        <w:rPr>
          <w:rFonts w:ascii="Times New Roman" w:hAnsi="Times New Roman" w:cs="Times New Roman"/>
          <w:sz w:val="24"/>
          <w:szCs w:val="24"/>
        </w:rPr>
        <w:t xml:space="preserve"> [flood risk]</w:t>
      </w:r>
      <w:r w:rsidR="00235CC1">
        <w:rPr>
          <w:rFonts w:ascii="Times New Roman" w:hAnsi="Times New Roman" w:cs="Times New Roman"/>
          <w:sz w:val="24"/>
          <w:szCs w:val="24"/>
        </w:rPr>
        <w:t>” and “</w:t>
      </w:r>
      <w:r w:rsidR="008E45C2" w:rsidRPr="00627E17">
        <w:rPr>
          <w:rFonts w:ascii="Times New Roman" w:hAnsi="Times New Roman" w:cs="Times New Roman"/>
          <w:sz w:val="24"/>
          <w:szCs w:val="24"/>
        </w:rPr>
        <w:t>The EA clearly remains concerned about the</w:t>
      </w:r>
      <w:r w:rsidR="009E0174" w:rsidRPr="00627E17">
        <w:rPr>
          <w:rFonts w:ascii="Times New Roman" w:hAnsi="Times New Roman" w:cs="Times New Roman"/>
          <w:sz w:val="24"/>
          <w:szCs w:val="24"/>
        </w:rPr>
        <w:t xml:space="preserve"> </w:t>
      </w:r>
      <w:r w:rsidR="008E45C2" w:rsidRPr="00627E17">
        <w:rPr>
          <w:rFonts w:ascii="Times New Roman" w:hAnsi="Times New Roman" w:cs="Times New Roman"/>
          <w:sz w:val="24"/>
          <w:szCs w:val="24"/>
        </w:rPr>
        <w:t>risk to the river wall and the difficulties which the building of the HMLC will cause to its ability to deal with problems. It has withdrawn its outright objection only on the basis of the imposition of onerous conditions. There can be no confidence that its managers – whoever they will be – will be able to comply with such conditions. Dealing with these critically important points by condition is unacceptable and there is no reason why they cannot be addressed as part of consideration of the application for planning permission.”</w:t>
      </w:r>
    </w:p>
    <w:p w14:paraId="3B21D962" w14:textId="7B8FF5AD" w:rsidR="008E45C2" w:rsidRDefault="008E45C2" w:rsidP="00F91387">
      <w:pPr>
        <w:pStyle w:val="ListParagraph"/>
        <w:numPr>
          <w:ilvl w:val="0"/>
          <w:numId w:val="25"/>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As the competent authority, the Environment Agency has determined that the remaining issues can be dealt with by way of reasonable conditions. As defined by the Environment Agency, the conditions are required “to ensure that the structural integrity of the flood defence is not compromised”.  Given the importance of the flood defence along the Thames frontage, it can be expected that the conditions will be enforced accordingly.</w:t>
      </w:r>
    </w:p>
    <w:p w14:paraId="4AEF6AB0" w14:textId="309FD440" w:rsidR="004C60F3" w:rsidRDefault="004C60F3" w:rsidP="00F91387">
      <w:pPr>
        <w:pStyle w:val="ListParagraph"/>
        <w:numPr>
          <w:ilvl w:val="0"/>
          <w:numId w:val="25"/>
        </w:numPr>
        <w:spacing w:after="0" w:line="360" w:lineRule="auto"/>
        <w:ind w:right="149"/>
        <w:jc w:val="both"/>
        <w:textAlignment w:val="baseline"/>
        <w:rPr>
          <w:rFonts w:ascii="Times New Roman" w:hAnsi="Times New Roman" w:cs="Times New Roman"/>
          <w:sz w:val="24"/>
          <w:szCs w:val="24"/>
        </w:rPr>
      </w:pPr>
      <w:r>
        <w:rPr>
          <w:rFonts w:ascii="Times New Roman" w:hAnsi="Times New Roman" w:cs="Times New Roman"/>
          <w:sz w:val="24"/>
          <w:szCs w:val="24"/>
        </w:rPr>
        <w:t>Also</w:t>
      </w:r>
      <w:r w:rsidR="00667B7A">
        <w:rPr>
          <w:rFonts w:ascii="Times New Roman" w:hAnsi="Times New Roman" w:cs="Times New Roman"/>
          <w:sz w:val="24"/>
          <w:szCs w:val="24"/>
        </w:rPr>
        <w:t>,</w:t>
      </w:r>
      <w:r>
        <w:rPr>
          <w:rFonts w:ascii="Times New Roman" w:hAnsi="Times New Roman" w:cs="Times New Roman"/>
          <w:sz w:val="24"/>
          <w:szCs w:val="24"/>
        </w:rPr>
        <w:t xml:space="preserve"> t</w:t>
      </w:r>
      <w:r w:rsidRPr="00A51636">
        <w:rPr>
          <w:rFonts w:ascii="Times New Roman" w:hAnsi="Times New Roman" w:cs="Times New Roman"/>
          <w:sz w:val="24"/>
          <w:szCs w:val="24"/>
        </w:rPr>
        <w:t xml:space="preserve">he existing defence </w:t>
      </w:r>
      <w:r>
        <w:rPr>
          <w:rFonts w:ascii="Times New Roman" w:hAnsi="Times New Roman" w:cs="Times New Roman"/>
          <w:sz w:val="24"/>
          <w:szCs w:val="24"/>
        </w:rPr>
        <w:t xml:space="preserve">condition grade </w:t>
      </w:r>
      <w:r w:rsidR="00FA0384">
        <w:rPr>
          <w:rFonts w:ascii="Times New Roman" w:hAnsi="Times New Roman" w:cs="Times New Roman"/>
          <w:sz w:val="24"/>
          <w:szCs w:val="24"/>
        </w:rPr>
        <w:t>is ‘</w:t>
      </w:r>
      <w:r>
        <w:rPr>
          <w:rFonts w:ascii="Times New Roman" w:hAnsi="Times New Roman" w:cs="Times New Roman"/>
          <w:sz w:val="24"/>
          <w:szCs w:val="24"/>
        </w:rPr>
        <w:t>good</w:t>
      </w:r>
      <w:r w:rsidR="00FA0384">
        <w:rPr>
          <w:rFonts w:ascii="Times New Roman" w:hAnsi="Times New Roman" w:cs="Times New Roman"/>
          <w:sz w:val="24"/>
          <w:szCs w:val="24"/>
        </w:rPr>
        <w:t>’,</w:t>
      </w:r>
      <w:r>
        <w:rPr>
          <w:rFonts w:ascii="Times New Roman" w:hAnsi="Times New Roman" w:cs="Times New Roman"/>
          <w:sz w:val="24"/>
          <w:szCs w:val="24"/>
        </w:rPr>
        <w:t xml:space="preserve"> and I consider that this therefore </w:t>
      </w:r>
      <w:r w:rsidRPr="00A51636">
        <w:rPr>
          <w:rFonts w:ascii="Times New Roman" w:hAnsi="Times New Roman" w:cs="Times New Roman"/>
          <w:sz w:val="24"/>
          <w:szCs w:val="24"/>
        </w:rPr>
        <w:t>has a</w:t>
      </w:r>
      <w:r>
        <w:rPr>
          <w:rFonts w:ascii="Times New Roman" w:hAnsi="Times New Roman" w:cs="Times New Roman"/>
          <w:sz w:val="24"/>
          <w:szCs w:val="24"/>
        </w:rPr>
        <w:t>n acceptable Standard of Protection, without requiring any immediate improvement/maintenance. Therefore</w:t>
      </w:r>
      <w:r w:rsidR="00667B7A">
        <w:rPr>
          <w:rFonts w:ascii="Times New Roman" w:hAnsi="Times New Roman" w:cs="Times New Roman"/>
          <w:sz w:val="24"/>
          <w:szCs w:val="24"/>
        </w:rPr>
        <w:t>,</w:t>
      </w:r>
      <w:r>
        <w:rPr>
          <w:rFonts w:ascii="Times New Roman" w:hAnsi="Times New Roman" w:cs="Times New Roman"/>
          <w:sz w:val="24"/>
          <w:szCs w:val="24"/>
        </w:rPr>
        <w:t xml:space="preserve"> I consider that this is not a requirement that is required to be undertaken prior to development but could be reasonably undertaken during construction and operation of the site</w:t>
      </w:r>
      <w:r w:rsidR="00312D58">
        <w:rPr>
          <w:rFonts w:ascii="Times New Roman" w:hAnsi="Times New Roman" w:cs="Times New Roman"/>
          <w:sz w:val="24"/>
          <w:szCs w:val="24"/>
        </w:rPr>
        <w:t xml:space="preserve"> </w:t>
      </w:r>
      <w:r w:rsidR="00667B7A">
        <w:rPr>
          <w:rFonts w:ascii="Times New Roman" w:hAnsi="Times New Roman" w:cs="Times New Roman"/>
          <w:sz w:val="24"/>
          <w:szCs w:val="24"/>
        </w:rPr>
        <w:t xml:space="preserve">in accordance </w:t>
      </w:r>
      <w:r w:rsidR="008A42C1">
        <w:rPr>
          <w:rFonts w:ascii="Times New Roman" w:hAnsi="Times New Roman" w:cs="Times New Roman"/>
          <w:sz w:val="24"/>
          <w:szCs w:val="24"/>
        </w:rPr>
        <w:t>with the</w:t>
      </w:r>
      <w:r w:rsidR="00312D58">
        <w:rPr>
          <w:rFonts w:ascii="Times New Roman" w:hAnsi="Times New Roman" w:cs="Times New Roman"/>
          <w:sz w:val="24"/>
          <w:szCs w:val="24"/>
        </w:rPr>
        <w:t xml:space="preserve"> EA’s recommended planning conditions</w:t>
      </w:r>
      <w:r>
        <w:rPr>
          <w:rFonts w:ascii="Times New Roman" w:hAnsi="Times New Roman" w:cs="Times New Roman"/>
          <w:sz w:val="24"/>
          <w:szCs w:val="24"/>
        </w:rPr>
        <w:t xml:space="preserve">. </w:t>
      </w:r>
    </w:p>
    <w:p w14:paraId="7E9E6BCB" w14:textId="77777777" w:rsidR="00F91387" w:rsidRPr="00F91387" w:rsidRDefault="00F91387" w:rsidP="00F91387">
      <w:pPr>
        <w:spacing w:after="0" w:line="360" w:lineRule="auto"/>
        <w:ind w:right="149"/>
        <w:jc w:val="both"/>
        <w:textAlignment w:val="baseline"/>
        <w:rPr>
          <w:rFonts w:ascii="Times New Roman" w:hAnsi="Times New Roman" w:cs="Times New Roman"/>
          <w:sz w:val="24"/>
          <w:szCs w:val="24"/>
        </w:rPr>
      </w:pPr>
    </w:p>
    <w:p w14:paraId="58681811" w14:textId="1982B11C" w:rsidR="000F005B" w:rsidRDefault="00F91387" w:rsidP="00F91387">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In conclusion, i</w:t>
      </w:r>
      <w:r w:rsidR="007D3112">
        <w:rPr>
          <w:rFonts w:ascii="Times New Roman" w:hAnsi="Times New Roman" w:cs="Times New Roman"/>
          <w:sz w:val="24"/>
          <w:szCs w:val="24"/>
        </w:rPr>
        <w:t xml:space="preserve">t is my professional opinion that </w:t>
      </w:r>
      <w:r w:rsidR="00BF0C41">
        <w:rPr>
          <w:rFonts w:ascii="Times New Roman" w:hAnsi="Times New Roman" w:cs="Times New Roman"/>
          <w:sz w:val="24"/>
          <w:szCs w:val="24"/>
        </w:rPr>
        <w:t xml:space="preserve">the development proposed is </w:t>
      </w:r>
      <w:r w:rsidR="00BF0C41">
        <w:rPr>
          <w:rFonts w:ascii="Times New Roman" w:hAnsi="Times New Roman" w:cs="Times New Roman"/>
          <w:sz w:val="24"/>
          <w:szCs w:val="24"/>
        </w:rPr>
        <w:lastRenderedPageBreak/>
        <w:t xml:space="preserve">at an acceptable level of flood risk, appropriate for the usage of the site, with </w:t>
      </w:r>
      <w:r w:rsidR="000F005B">
        <w:rPr>
          <w:rFonts w:ascii="Times New Roman" w:hAnsi="Times New Roman" w:cs="Times New Roman"/>
          <w:sz w:val="24"/>
          <w:szCs w:val="24"/>
        </w:rPr>
        <w:t>sufficient measures in place to mitigate any implications.</w:t>
      </w:r>
    </w:p>
    <w:p w14:paraId="45D14C7F" w14:textId="77777777" w:rsidR="00235CC1" w:rsidRDefault="00235CC1" w:rsidP="00235CC1">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720422C8" w14:textId="6E03EBD9" w:rsidR="004C60F3" w:rsidRDefault="004C60F3" w:rsidP="00F91387">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It is also my opinion that the development, for its lifetime, is appropriate for its location and that it is at an acceptable level of flood risk, without increasing flood risk elsewhere. </w:t>
      </w:r>
    </w:p>
    <w:p w14:paraId="277BE430" w14:textId="4C03A7CC" w:rsidR="002C773C" w:rsidRDefault="002C773C" w:rsidP="00755ABC">
      <w:pPr>
        <w:spacing w:after="0" w:line="360" w:lineRule="auto"/>
        <w:ind w:right="149"/>
        <w:jc w:val="both"/>
        <w:textAlignment w:val="baseline"/>
        <w:rPr>
          <w:rFonts w:ascii="Times New Roman" w:hAnsi="Times New Roman" w:cs="Times New Roman"/>
          <w:sz w:val="24"/>
          <w:szCs w:val="24"/>
        </w:rPr>
      </w:pPr>
    </w:p>
    <w:p w14:paraId="43490AA9" w14:textId="642ACF28" w:rsidR="008D5151" w:rsidRPr="008D5151" w:rsidRDefault="008D5151" w:rsidP="008D5151">
      <w:pPr>
        <w:rPr>
          <w:rFonts w:ascii="Times New Roman" w:hAnsi="Times New Roman" w:cs="Times New Roman"/>
          <w:sz w:val="24"/>
          <w:szCs w:val="24"/>
        </w:rPr>
      </w:pPr>
    </w:p>
    <w:p w14:paraId="595A2299" w14:textId="71EE2517" w:rsidR="008D5151" w:rsidRPr="008D5151" w:rsidRDefault="008D5151" w:rsidP="008D5151">
      <w:pPr>
        <w:rPr>
          <w:rFonts w:ascii="Times New Roman" w:hAnsi="Times New Roman" w:cs="Times New Roman"/>
          <w:sz w:val="24"/>
          <w:szCs w:val="24"/>
        </w:rPr>
      </w:pPr>
    </w:p>
    <w:p w14:paraId="5811D791" w14:textId="3F87CB63" w:rsidR="008D5151" w:rsidRPr="008D5151" w:rsidRDefault="008D5151" w:rsidP="008D5151">
      <w:pPr>
        <w:rPr>
          <w:rFonts w:ascii="Times New Roman" w:hAnsi="Times New Roman" w:cs="Times New Roman"/>
          <w:sz w:val="24"/>
          <w:szCs w:val="24"/>
        </w:rPr>
      </w:pPr>
    </w:p>
    <w:p w14:paraId="57927C84" w14:textId="29BFAED8" w:rsidR="008D5151" w:rsidRPr="008D5151" w:rsidRDefault="008D5151" w:rsidP="008D5151">
      <w:pPr>
        <w:rPr>
          <w:rFonts w:ascii="Times New Roman" w:hAnsi="Times New Roman" w:cs="Times New Roman"/>
          <w:sz w:val="24"/>
          <w:szCs w:val="24"/>
        </w:rPr>
      </w:pPr>
    </w:p>
    <w:p w14:paraId="39A3549C" w14:textId="49F1AABB" w:rsidR="008D5151" w:rsidRPr="008D5151" w:rsidRDefault="008D5151" w:rsidP="008D5151">
      <w:pPr>
        <w:rPr>
          <w:rFonts w:ascii="Times New Roman" w:hAnsi="Times New Roman" w:cs="Times New Roman"/>
          <w:sz w:val="24"/>
          <w:szCs w:val="24"/>
        </w:rPr>
      </w:pPr>
    </w:p>
    <w:p w14:paraId="572F9B67" w14:textId="5869A598" w:rsidR="008D5151" w:rsidRPr="008D5151" w:rsidRDefault="008D5151" w:rsidP="008D5151">
      <w:pPr>
        <w:rPr>
          <w:rFonts w:ascii="Times New Roman" w:hAnsi="Times New Roman" w:cs="Times New Roman"/>
          <w:sz w:val="24"/>
          <w:szCs w:val="24"/>
        </w:rPr>
      </w:pPr>
    </w:p>
    <w:p w14:paraId="680296A0" w14:textId="4659733B" w:rsidR="008D5151" w:rsidRPr="008D5151" w:rsidRDefault="008D5151" w:rsidP="008D5151">
      <w:pPr>
        <w:rPr>
          <w:rFonts w:ascii="Times New Roman" w:hAnsi="Times New Roman" w:cs="Times New Roman"/>
          <w:sz w:val="24"/>
          <w:szCs w:val="24"/>
        </w:rPr>
      </w:pPr>
    </w:p>
    <w:p w14:paraId="70A688FB" w14:textId="3FE1EA43" w:rsidR="008D5151" w:rsidRPr="008D5151" w:rsidRDefault="008D5151" w:rsidP="008D5151">
      <w:pPr>
        <w:rPr>
          <w:rFonts w:ascii="Times New Roman" w:hAnsi="Times New Roman" w:cs="Times New Roman"/>
          <w:sz w:val="24"/>
          <w:szCs w:val="24"/>
        </w:rPr>
      </w:pPr>
    </w:p>
    <w:p w14:paraId="58E4E787" w14:textId="6093020E" w:rsidR="008D5151" w:rsidRPr="008D5151" w:rsidRDefault="008D5151" w:rsidP="008D5151">
      <w:pPr>
        <w:rPr>
          <w:rFonts w:ascii="Times New Roman" w:hAnsi="Times New Roman" w:cs="Times New Roman"/>
          <w:sz w:val="24"/>
          <w:szCs w:val="24"/>
        </w:rPr>
      </w:pPr>
    </w:p>
    <w:p w14:paraId="02C2AF07" w14:textId="01C14E27" w:rsidR="008D5151" w:rsidRPr="008D5151" w:rsidRDefault="008D5151" w:rsidP="008D5151">
      <w:pPr>
        <w:rPr>
          <w:rFonts w:ascii="Times New Roman" w:hAnsi="Times New Roman" w:cs="Times New Roman"/>
          <w:sz w:val="24"/>
          <w:szCs w:val="24"/>
        </w:rPr>
      </w:pPr>
    </w:p>
    <w:p w14:paraId="6FDFE0E5" w14:textId="7AC3A0E7" w:rsidR="008D5151" w:rsidRPr="008D5151" w:rsidRDefault="008D5151" w:rsidP="008D5151">
      <w:pPr>
        <w:rPr>
          <w:rFonts w:ascii="Times New Roman" w:hAnsi="Times New Roman" w:cs="Times New Roman"/>
          <w:sz w:val="24"/>
          <w:szCs w:val="24"/>
        </w:rPr>
      </w:pPr>
    </w:p>
    <w:p w14:paraId="3E00AFE2" w14:textId="3B685595" w:rsidR="008D5151" w:rsidRPr="008D5151" w:rsidRDefault="008D5151" w:rsidP="008D5151">
      <w:pPr>
        <w:rPr>
          <w:rFonts w:ascii="Times New Roman" w:hAnsi="Times New Roman" w:cs="Times New Roman"/>
          <w:sz w:val="24"/>
          <w:szCs w:val="24"/>
        </w:rPr>
      </w:pPr>
    </w:p>
    <w:p w14:paraId="2CA7FEDC" w14:textId="43E90D92" w:rsidR="008D5151" w:rsidRPr="008D5151" w:rsidRDefault="008D5151" w:rsidP="008D5151">
      <w:pPr>
        <w:rPr>
          <w:rFonts w:ascii="Times New Roman" w:hAnsi="Times New Roman" w:cs="Times New Roman"/>
          <w:sz w:val="24"/>
          <w:szCs w:val="24"/>
        </w:rPr>
      </w:pPr>
    </w:p>
    <w:p w14:paraId="5EBA7719" w14:textId="3277EADA" w:rsidR="008D5151" w:rsidRPr="008D5151" w:rsidRDefault="008D5151" w:rsidP="008D5151">
      <w:pPr>
        <w:rPr>
          <w:rFonts w:ascii="Times New Roman" w:hAnsi="Times New Roman" w:cs="Times New Roman"/>
          <w:sz w:val="24"/>
          <w:szCs w:val="24"/>
        </w:rPr>
      </w:pPr>
    </w:p>
    <w:p w14:paraId="3D796ED5" w14:textId="769DBFB6" w:rsidR="008D5151" w:rsidRPr="008D5151" w:rsidRDefault="008D5151" w:rsidP="008D5151">
      <w:pPr>
        <w:rPr>
          <w:rFonts w:ascii="Times New Roman" w:hAnsi="Times New Roman" w:cs="Times New Roman"/>
          <w:sz w:val="24"/>
          <w:szCs w:val="24"/>
        </w:rPr>
      </w:pPr>
    </w:p>
    <w:p w14:paraId="1CD09D42" w14:textId="77777777" w:rsidR="008D5151" w:rsidRPr="008D5151" w:rsidRDefault="008D5151" w:rsidP="008D5151">
      <w:pPr>
        <w:jc w:val="center"/>
        <w:rPr>
          <w:rFonts w:ascii="Times New Roman" w:hAnsi="Times New Roman" w:cs="Times New Roman"/>
          <w:sz w:val="24"/>
          <w:szCs w:val="24"/>
        </w:rPr>
      </w:pPr>
    </w:p>
    <w:sectPr w:rsidR="008D5151" w:rsidRPr="008D5151" w:rsidSect="00140AA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F668" w14:textId="77777777" w:rsidR="00B35720" w:rsidRDefault="00B35720" w:rsidP="00424E2E">
      <w:pPr>
        <w:spacing w:after="0" w:line="240" w:lineRule="auto"/>
      </w:pPr>
      <w:r>
        <w:separator/>
      </w:r>
    </w:p>
  </w:endnote>
  <w:endnote w:type="continuationSeparator" w:id="0">
    <w:p w14:paraId="6FB1ECC5" w14:textId="77777777" w:rsidR="00B35720" w:rsidRDefault="00B35720" w:rsidP="0042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2DCA" w14:textId="77777777" w:rsidR="00FA0724" w:rsidRDefault="00FA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831368"/>
      <w:docPartObj>
        <w:docPartGallery w:val="Page Numbers (Bottom of Page)"/>
        <w:docPartUnique/>
      </w:docPartObj>
    </w:sdtPr>
    <w:sdtEndPr>
      <w:rPr>
        <w:noProof/>
      </w:rPr>
    </w:sdtEndPr>
    <w:sdtContent>
      <w:p w14:paraId="493BAEEE" w14:textId="20E487CE" w:rsidR="00140AAA" w:rsidRDefault="00140AAA">
        <w:pPr>
          <w:pStyle w:val="Footer"/>
          <w:jc w:val="center"/>
        </w:pPr>
        <w:r>
          <w:fldChar w:fldCharType="begin"/>
        </w:r>
        <w:r>
          <w:instrText xml:space="preserve"> PAGE   \* MERGEFORMAT </w:instrText>
        </w:r>
        <w:r>
          <w:fldChar w:fldCharType="separate"/>
        </w:r>
        <w:r w:rsidR="008C4271">
          <w:rPr>
            <w:noProof/>
          </w:rPr>
          <w:t>2</w:t>
        </w:r>
        <w:r>
          <w:rPr>
            <w:noProof/>
          </w:rPr>
          <w:fldChar w:fldCharType="end"/>
        </w:r>
        <w:r w:rsidR="00794C17">
          <w:rPr>
            <w:noProof/>
          </w:rPr>
          <w:t xml:space="preserve"> of </w:t>
        </w:r>
        <w:r w:rsidR="00354445">
          <w:rPr>
            <w:noProof/>
          </w:rPr>
          <w:t>7</w:t>
        </w:r>
      </w:p>
    </w:sdtContent>
  </w:sdt>
  <w:p w14:paraId="4C9539A1" w14:textId="77777777" w:rsidR="00907300" w:rsidRDefault="00907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1577" w14:textId="77777777" w:rsidR="00FA0724" w:rsidRDefault="00FA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8E60" w14:textId="77777777" w:rsidR="00B35720" w:rsidRDefault="00B35720" w:rsidP="00424E2E">
      <w:pPr>
        <w:spacing w:after="0" w:line="240" w:lineRule="auto"/>
      </w:pPr>
      <w:r>
        <w:separator/>
      </w:r>
    </w:p>
  </w:footnote>
  <w:footnote w:type="continuationSeparator" w:id="0">
    <w:p w14:paraId="5AC21939" w14:textId="77777777" w:rsidR="00B35720" w:rsidRDefault="00B35720" w:rsidP="0042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7A9D" w14:textId="5F0F56EB" w:rsidR="00FA0724" w:rsidRDefault="00FA0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7F07" w14:textId="6A866516" w:rsidR="00FA0724" w:rsidRDefault="00FA0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BA62" w14:textId="3BA25E7B" w:rsidR="00FA0724" w:rsidRDefault="00FA0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165"/>
    <w:multiLevelType w:val="hybridMultilevel"/>
    <w:tmpl w:val="7BAE5A3C"/>
    <w:lvl w:ilvl="0" w:tplc="A3209FF8">
      <w:start w:val="1"/>
      <w:numFmt w:val="decimal"/>
      <w:lvlText w:val="5.%1"/>
      <w:lvlJc w:val="left"/>
      <w:pPr>
        <w:ind w:left="720" w:hanging="360"/>
      </w:pPr>
      <w:rPr>
        <w:rFonts w:hint="default"/>
      </w:rPr>
    </w:lvl>
    <w:lvl w:ilvl="1" w:tplc="8574149E">
      <w:start w:val="1"/>
      <w:numFmt w:val="decimal"/>
      <w:lvlText w:val="5.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A0EE5"/>
    <w:multiLevelType w:val="multilevel"/>
    <w:tmpl w:val="0942856C"/>
    <w:lvl w:ilvl="0">
      <w:start w:val="1"/>
      <w:numFmt w:val="decimal"/>
      <w:lvlText w:val="%1.0"/>
      <w:lvlJc w:val="left"/>
      <w:pPr>
        <w:ind w:left="443" w:hanging="443"/>
      </w:pPr>
      <w:rPr>
        <w:rFonts w:hint="default"/>
        <w:b/>
      </w:rPr>
    </w:lvl>
    <w:lvl w:ilvl="1">
      <w:start w:val="1"/>
      <w:numFmt w:val="decimal"/>
      <w:lvlText w:val="2.%2"/>
      <w:lvlJc w:val="left"/>
      <w:pPr>
        <w:ind w:left="567" w:hanging="567"/>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505464"/>
    <w:multiLevelType w:val="multilevel"/>
    <w:tmpl w:val="D8BE7670"/>
    <w:lvl w:ilvl="0">
      <w:start w:val="1"/>
      <w:numFmt w:val="decimal"/>
      <w:pStyle w:val="ListNumber"/>
      <w:lvlText w:val="%1."/>
      <w:lvlJc w:val="left"/>
      <w:pPr>
        <w:ind w:left="357" w:hanging="357"/>
      </w:pPr>
    </w:lvl>
    <w:lvl w:ilvl="1">
      <w:start w:val="1"/>
      <w:numFmt w:val="lowerLetter"/>
      <w:pStyle w:val="ListNumber2"/>
      <w:lvlText w:val="%2."/>
      <w:lvlJc w:val="left"/>
      <w:pPr>
        <w:ind w:left="714" w:hanging="357"/>
      </w:pPr>
    </w:lvl>
    <w:lvl w:ilvl="2">
      <w:start w:val="1"/>
      <w:numFmt w:val="lowerRoman"/>
      <w:pStyle w:val="ListNumber3"/>
      <w:lvlText w:val="%3."/>
      <w:lvlJc w:val="left"/>
      <w:pPr>
        <w:ind w:left="1071" w:hanging="357"/>
      </w:pPr>
    </w:lvl>
    <w:lvl w:ilvl="3">
      <w:start w:val="1"/>
      <w:numFmt w:val="none"/>
      <w:lvlText w:val=""/>
      <w:lvlJc w:val="left"/>
      <w:pPr>
        <w:ind w:left="1428" w:hanging="357"/>
      </w:pPr>
    </w:lvl>
    <w:lvl w:ilvl="4">
      <w:start w:val="1"/>
      <w:numFmt w:val="none"/>
      <w:lvlText w:val=""/>
      <w:lvlJc w:val="left"/>
      <w:pPr>
        <w:ind w:left="1785" w:hanging="357"/>
      </w:pPr>
    </w:lvl>
    <w:lvl w:ilvl="5">
      <w:start w:val="1"/>
      <w:numFmt w:val="none"/>
      <w:lvlText w:val=""/>
      <w:lvlJc w:val="left"/>
      <w:pPr>
        <w:ind w:left="2142" w:hanging="357"/>
      </w:pPr>
    </w:lvl>
    <w:lvl w:ilvl="6">
      <w:start w:val="1"/>
      <w:numFmt w:val="none"/>
      <w:lvlText w:val=""/>
      <w:lvlJc w:val="left"/>
      <w:pPr>
        <w:ind w:left="2499" w:hanging="357"/>
      </w:pPr>
    </w:lvl>
    <w:lvl w:ilvl="7">
      <w:start w:val="1"/>
      <w:numFmt w:val="none"/>
      <w:lvlText w:val=""/>
      <w:lvlJc w:val="left"/>
      <w:pPr>
        <w:ind w:left="2856" w:hanging="357"/>
      </w:pPr>
    </w:lvl>
    <w:lvl w:ilvl="8">
      <w:start w:val="1"/>
      <w:numFmt w:val="none"/>
      <w:lvlText w:val=""/>
      <w:lvlJc w:val="left"/>
      <w:pPr>
        <w:ind w:left="3213" w:hanging="357"/>
      </w:pPr>
    </w:lvl>
  </w:abstractNum>
  <w:abstractNum w:abstractNumId="3" w15:restartNumberingAfterBreak="0">
    <w:nsid w:val="0FCD693D"/>
    <w:multiLevelType w:val="hybridMultilevel"/>
    <w:tmpl w:val="C2362ADE"/>
    <w:lvl w:ilvl="0" w:tplc="3AA6501E">
      <w:start w:val="1"/>
      <w:numFmt w:val="decimal"/>
      <w:lvlText w:val="4.%1"/>
      <w:lvlJc w:val="left"/>
      <w:pPr>
        <w:ind w:left="720" w:hanging="360"/>
      </w:pPr>
      <w:rPr>
        <w:rFonts w:hint="default"/>
      </w:rPr>
    </w:lvl>
    <w:lvl w:ilvl="1" w:tplc="632279D8">
      <w:start w:val="1"/>
      <w:numFmt w:val="decimal"/>
      <w:lvlText w:val="4.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2775B"/>
    <w:multiLevelType w:val="multilevel"/>
    <w:tmpl w:val="0D829D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FA12C9"/>
    <w:multiLevelType w:val="hybridMultilevel"/>
    <w:tmpl w:val="356CBCD4"/>
    <w:lvl w:ilvl="0" w:tplc="266A2E7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A5044"/>
    <w:multiLevelType w:val="hybridMultilevel"/>
    <w:tmpl w:val="53D8F288"/>
    <w:lvl w:ilvl="0" w:tplc="EA44E1D6">
      <w:start w:val="1"/>
      <w:numFmt w:val="lowerRoman"/>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7" w15:restartNumberingAfterBreak="0">
    <w:nsid w:val="2A1B7CA4"/>
    <w:multiLevelType w:val="multilevel"/>
    <w:tmpl w:val="49FC9768"/>
    <w:lvl w:ilvl="0">
      <w:start w:val="1"/>
      <w:numFmt w:val="decimal"/>
      <w:lvlText w:val="%1.0"/>
      <w:lvlJc w:val="left"/>
      <w:pPr>
        <w:ind w:left="443" w:hanging="443"/>
      </w:pPr>
      <w:rPr>
        <w:rFonts w:hint="default"/>
        <w:b/>
      </w:rPr>
    </w:lvl>
    <w:lvl w:ilvl="1">
      <w:start w:val="2"/>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B510B9A"/>
    <w:multiLevelType w:val="hybridMultilevel"/>
    <w:tmpl w:val="61404816"/>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46A9C"/>
    <w:multiLevelType w:val="hybridMultilevel"/>
    <w:tmpl w:val="960827DE"/>
    <w:lvl w:ilvl="0" w:tplc="266A2E7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97C50"/>
    <w:multiLevelType w:val="hybridMultilevel"/>
    <w:tmpl w:val="1EBEC940"/>
    <w:lvl w:ilvl="0" w:tplc="0050687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53FC5"/>
    <w:multiLevelType w:val="multilevel"/>
    <w:tmpl w:val="49FC9768"/>
    <w:lvl w:ilvl="0">
      <w:start w:val="1"/>
      <w:numFmt w:val="decimal"/>
      <w:lvlText w:val="%1.0"/>
      <w:lvlJc w:val="left"/>
      <w:pPr>
        <w:ind w:left="443" w:hanging="443"/>
      </w:pPr>
      <w:rPr>
        <w:rFonts w:hint="default"/>
        <w:b/>
      </w:rPr>
    </w:lvl>
    <w:lvl w:ilvl="1">
      <w:start w:val="2"/>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33C3381"/>
    <w:multiLevelType w:val="multilevel"/>
    <w:tmpl w:val="37D2E0DE"/>
    <w:lvl w:ilvl="0">
      <w:start w:val="1"/>
      <w:numFmt w:val="decimal"/>
      <w:lvlText w:val="%1.0"/>
      <w:lvlJc w:val="left"/>
      <w:pPr>
        <w:ind w:left="443" w:hanging="443"/>
      </w:pPr>
      <w:rPr>
        <w:rFonts w:hint="default"/>
        <w:b/>
      </w:rPr>
    </w:lvl>
    <w:lvl w:ilvl="1">
      <w:start w:val="1"/>
      <w:numFmt w:val="decimal"/>
      <w:lvlText w:val="5.%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DC955C3"/>
    <w:multiLevelType w:val="multilevel"/>
    <w:tmpl w:val="A24270C8"/>
    <w:lvl w:ilvl="0">
      <w:start w:val="1"/>
      <w:numFmt w:val="decimal"/>
      <w:lvlText w:val="%1.0"/>
      <w:lvlJc w:val="left"/>
      <w:pPr>
        <w:ind w:left="443" w:hanging="443"/>
      </w:pPr>
      <w:rPr>
        <w:rFonts w:hint="default"/>
        <w:b/>
      </w:rPr>
    </w:lvl>
    <w:lvl w:ilvl="1">
      <w:start w:val="1"/>
      <w:numFmt w:val="decimal"/>
      <w:lvlText w:val="5.%2"/>
      <w:lvlJc w:val="left"/>
      <w:pPr>
        <w:ind w:left="443" w:hanging="443"/>
      </w:pPr>
      <w:rPr>
        <w:rFonts w:hint="default"/>
        <w:b/>
        <w:i w:val="0"/>
      </w:rPr>
    </w:lvl>
    <w:lvl w:ilvl="2">
      <w:start w:val="1"/>
      <w:numFmt w:val="decimal"/>
      <w:lvlText w:val="6.3.%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EBD7E2A"/>
    <w:multiLevelType w:val="hybridMultilevel"/>
    <w:tmpl w:val="D2E2E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815DD2"/>
    <w:multiLevelType w:val="multilevel"/>
    <w:tmpl w:val="94CA922C"/>
    <w:lvl w:ilvl="0">
      <w:start w:val="1"/>
      <w:numFmt w:val="decimal"/>
      <w:lvlText w:val="%1.0"/>
      <w:lvlJc w:val="left"/>
      <w:pPr>
        <w:ind w:left="443" w:hanging="443"/>
      </w:pPr>
      <w:rPr>
        <w:rFonts w:hint="default"/>
        <w:b/>
      </w:rPr>
    </w:lvl>
    <w:lvl w:ilvl="1">
      <w:start w:val="1"/>
      <w:numFmt w:val="decimal"/>
      <w:lvlText w:val="2.%2"/>
      <w:lvlJc w:val="left"/>
      <w:pPr>
        <w:ind w:left="567" w:hanging="567"/>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84F767F"/>
    <w:multiLevelType w:val="hybridMultilevel"/>
    <w:tmpl w:val="51D01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293AEC"/>
    <w:multiLevelType w:val="hybridMultilevel"/>
    <w:tmpl w:val="00F06A60"/>
    <w:lvl w:ilvl="0" w:tplc="705C18D4">
      <w:start w:val="1"/>
      <w:numFmt w:val="decimal"/>
      <w:lvlText w:val="6.%1"/>
      <w:lvlJc w:val="left"/>
      <w:pPr>
        <w:ind w:left="720" w:hanging="360"/>
      </w:pPr>
      <w:rPr>
        <w:rFonts w:hint="default"/>
      </w:rPr>
    </w:lvl>
    <w:lvl w:ilvl="1" w:tplc="ED708846">
      <w:start w:val="1"/>
      <w:numFmt w:val="decimal"/>
      <w:lvlText w:val="4.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D43C6"/>
    <w:multiLevelType w:val="hybridMultilevel"/>
    <w:tmpl w:val="524C8DFE"/>
    <w:lvl w:ilvl="0" w:tplc="A41A0EC4">
      <w:start w:val="1"/>
      <w:numFmt w:val="decimal"/>
      <w:lvlText w:val="S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357936"/>
    <w:multiLevelType w:val="hybridMultilevel"/>
    <w:tmpl w:val="CFAA391E"/>
    <w:lvl w:ilvl="0" w:tplc="691840EE">
      <w:start w:val="1"/>
      <w:numFmt w:val="decimal"/>
      <w:lvlText w:val="4.3.%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6B47E3"/>
    <w:multiLevelType w:val="hybridMultilevel"/>
    <w:tmpl w:val="23AAAECE"/>
    <w:lvl w:ilvl="0" w:tplc="A3209FF8">
      <w:start w:val="1"/>
      <w:numFmt w:val="decimal"/>
      <w:lvlText w:val="5.%1"/>
      <w:lvlJc w:val="left"/>
      <w:pPr>
        <w:ind w:left="720" w:hanging="360"/>
      </w:pPr>
      <w:rPr>
        <w:rFonts w:hint="default"/>
      </w:rPr>
    </w:lvl>
    <w:lvl w:ilvl="1" w:tplc="ED708846">
      <w:start w:val="1"/>
      <w:numFmt w:val="decimal"/>
      <w:lvlText w:val="4.1.%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5516E"/>
    <w:multiLevelType w:val="multilevel"/>
    <w:tmpl w:val="49FC9768"/>
    <w:lvl w:ilvl="0">
      <w:start w:val="1"/>
      <w:numFmt w:val="decimal"/>
      <w:lvlText w:val="%1.0"/>
      <w:lvlJc w:val="left"/>
      <w:pPr>
        <w:ind w:left="443" w:hanging="443"/>
      </w:pPr>
      <w:rPr>
        <w:rFonts w:hint="default"/>
        <w:b/>
      </w:rPr>
    </w:lvl>
    <w:lvl w:ilvl="1">
      <w:start w:val="2"/>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F25A32"/>
    <w:multiLevelType w:val="multilevel"/>
    <w:tmpl w:val="DBDADE30"/>
    <w:lvl w:ilvl="0">
      <w:start w:val="1"/>
      <w:numFmt w:val="decimal"/>
      <w:lvlText w:val="%1.0"/>
      <w:lvlJc w:val="left"/>
      <w:pPr>
        <w:ind w:left="443" w:hanging="443"/>
      </w:pPr>
      <w:rPr>
        <w:rFonts w:hint="default"/>
        <w:b/>
      </w:rPr>
    </w:lvl>
    <w:lvl w:ilvl="1">
      <w:start w:val="1"/>
      <w:numFmt w:val="none"/>
      <w:lvlText w:val="3.1"/>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4"/>
  </w:num>
  <w:num w:numId="3">
    <w:abstractNumId w:val="6"/>
  </w:num>
  <w:num w:numId="4">
    <w:abstractNumId w:val="14"/>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2"/>
  </w:num>
  <w:num w:numId="10">
    <w:abstractNumId w:val="11"/>
  </w:num>
  <w:num w:numId="11">
    <w:abstractNumId w:val="1"/>
  </w:num>
  <w:num w:numId="12">
    <w:abstractNumId w:val="7"/>
  </w:num>
  <w:num w:numId="13">
    <w:abstractNumId w:val="12"/>
  </w:num>
  <w:num w:numId="14">
    <w:abstractNumId w:val="18"/>
  </w:num>
  <w:num w:numId="15">
    <w:abstractNumId w:val="10"/>
  </w:num>
  <w:num w:numId="16">
    <w:abstractNumId w:val="9"/>
  </w:num>
  <w:num w:numId="17">
    <w:abstractNumId w:val="3"/>
  </w:num>
  <w:num w:numId="18">
    <w:abstractNumId w:val="20"/>
  </w:num>
  <w:num w:numId="19">
    <w:abstractNumId w:val="0"/>
  </w:num>
  <w:num w:numId="20">
    <w:abstractNumId w:val="13"/>
  </w:num>
  <w:num w:numId="21">
    <w:abstractNumId w:val="5"/>
  </w:num>
  <w:num w:numId="22">
    <w:abstractNumId w:val="19"/>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 w:name="PIM_Brand" w:val="D9"/>
  </w:docVars>
  <w:rsids>
    <w:rsidRoot w:val="00424E2E"/>
    <w:rsid w:val="0000285D"/>
    <w:rsid w:val="000064AD"/>
    <w:rsid w:val="00044D46"/>
    <w:rsid w:val="00045CB0"/>
    <w:rsid w:val="0005188A"/>
    <w:rsid w:val="000556B1"/>
    <w:rsid w:val="00073D78"/>
    <w:rsid w:val="00076BB0"/>
    <w:rsid w:val="00083809"/>
    <w:rsid w:val="00087861"/>
    <w:rsid w:val="000966D9"/>
    <w:rsid w:val="000B3B83"/>
    <w:rsid w:val="000C01BF"/>
    <w:rsid w:val="000D7B1E"/>
    <w:rsid w:val="000F005B"/>
    <w:rsid w:val="0010478D"/>
    <w:rsid w:val="00116886"/>
    <w:rsid w:val="00140AAA"/>
    <w:rsid w:val="00143ECC"/>
    <w:rsid w:val="001B4B21"/>
    <w:rsid w:val="001D6917"/>
    <w:rsid w:val="001F7040"/>
    <w:rsid w:val="002124ED"/>
    <w:rsid w:val="00224704"/>
    <w:rsid w:val="0022483F"/>
    <w:rsid w:val="00234DC2"/>
    <w:rsid w:val="00235CC1"/>
    <w:rsid w:val="00243970"/>
    <w:rsid w:val="00243C1F"/>
    <w:rsid w:val="00251C34"/>
    <w:rsid w:val="00255595"/>
    <w:rsid w:val="00277747"/>
    <w:rsid w:val="00282F63"/>
    <w:rsid w:val="002913B5"/>
    <w:rsid w:val="002A1617"/>
    <w:rsid w:val="002A2BF2"/>
    <w:rsid w:val="002A6F76"/>
    <w:rsid w:val="002B26F7"/>
    <w:rsid w:val="002C773C"/>
    <w:rsid w:val="002E29BA"/>
    <w:rsid w:val="00304B64"/>
    <w:rsid w:val="003076A9"/>
    <w:rsid w:val="00310BB7"/>
    <w:rsid w:val="003127A5"/>
    <w:rsid w:val="00312D58"/>
    <w:rsid w:val="00314BFB"/>
    <w:rsid w:val="00330A55"/>
    <w:rsid w:val="00354445"/>
    <w:rsid w:val="00357579"/>
    <w:rsid w:val="00377DFA"/>
    <w:rsid w:val="003A42A3"/>
    <w:rsid w:val="003C5EE5"/>
    <w:rsid w:val="003C60D6"/>
    <w:rsid w:val="003F7879"/>
    <w:rsid w:val="00402BA2"/>
    <w:rsid w:val="00424E2E"/>
    <w:rsid w:val="00437784"/>
    <w:rsid w:val="00451217"/>
    <w:rsid w:val="00481A39"/>
    <w:rsid w:val="00493AD4"/>
    <w:rsid w:val="004944C3"/>
    <w:rsid w:val="004B2EDE"/>
    <w:rsid w:val="004C10BE"/>
    <w:rsid w:val="004C1993"/>
    <w:rsid w:val="004C60F3"/>
    <w:rsid w:val="004D4A13"/>
    <w:rsid w:val="004E7CDF"/>
    <w:rsid w:val="0052600C"/>
    <w:rsid w:val="00541E43"/>
    <w:rsid w:val="00543A1E"/>
    <w:rsid w:val="00556E17"/>
    <w:rsid w:val="005670D7"/>
    <w:rsid w:val="005875D3"/>
    <w:rsid w:val="00592221"/>
    <w:rsid w:val="005A5D61"/>
    <w:rsid w:val="005B13A1"/>
    <w:rsid w:val="005C027F"/>
    <w:rsid w:val="005E3BEE"/>
    <w:rsid w:val="005E435C"/>
    <w:rsid w:val="005F1232"/>
    <w:rsid w:val="005F5419"/>
    <w:rsid w:val="0060080D"/>
    <w:rsid w:val="00616EFF"/>
    <w:rsid w:val="006212E4"/>
    <w:rsid w:val="006213A6"/>
    <w:rsid w:val="00627E17"/>
    <w:rsid w:val="006521CF"/>
    <w:rsid w:val="006534D2"/>
    <w:rsid w:val="0065559F"/>
    <w:rsid w:val="00667B7A"/>
    <w:rsid w:val="006F7530"/>
    <w:rsid w:val="00733394"/>
    <w:rsid w:val="007435AC"/>
    <w:rsid w:val="00745AE2"/>
    <w:rsid w:val="00745B4B"/>
    <w:rsid w:val="00755ABC"/>
    <w:rsid w:val="00777414"/>
    <w:rsid w:val="007874A0"/>
    <w:rsid w:val="00794C17"/>
    <w:rsid w:val="007C10E1"/>
    <w:rsid w:val="007C345E"/>
    <w:rsid w:val="007D3112"/>
    <w:rsid w:val="007D62D9"/>
    <w:rsid w:val="007F1C3D"/>
    <w:rsid w:val="008041B5"/>
    <w:rsid w:val="0081530C"/>
    <w:rsid w:val="00826792"/>
    <w:rsid w:val="008420C1"/>
    <w:rsid w:val="008426D4"/>
    <w:rsid w:val="00846FA8"/>
    <w:rsid w:val="0086649A"/>
    <w:rsid w:val="00870284"/>
    <w:rsid w:val="00886514"/>
    <w:rsid w:val="008A42C1"/>
    <w:rsid w:val="008B0748"/>
    <w:rsid w:val="008B4719"/>
    <w:rsid w:val="008C28FB"/>
    <w:rsid w:val="008C4271"/>
    <w:rsid w:val="008C5962"/>
    <w:rsid w:val="008D5151"/>
    <w:rsid w:val="008E45C2"/>
    <w:rsid w:val="008F3178"/>
    <w:rsid w:val="00907300"/>
    <w:rsid w:val="00911DD3"/>
    <w:rsid w:val="009372E1"/>
    <w:rsid w:val="009C0E4C"/>
    <w:rsid w:val="009C70A0"/>
    <w:rsid w:val="009E0174"/>
    <w:rsid w:val="009E7A2C"/>
    <w:rsid w:val="00A01573"/>
    <w:rsid w:val="00A306A0"/>
    <w:rsid w:val="00A348A6"/>
    <w:rsid w:val="00A50537"/>
    <w:rsid w:val="00A51636"/>
    <w:rsid w:val="00A51A4D"/>
    <w:rsid w:val="00A87682"/>
    <w:rsid w:val="00A9106D"/>
    <w:rsid w:val="00A9116D"/>
    <w:rsid w:val="00A9504E"/>
    <w:rsid w:val="00AC6DBC"/>
    <w:rsid w:val="00AF2BBE"/>
    <w:rsid w:val="00B010CF"/>
    <w:rsid w:val="00B04042"/>
    <w:rsid w:val="00B232B5"/>
    <w:rsid w:val="00B34F67"/>
    <w:rsid w:val="00B35720"/>
    <w:rsid w:val="00B42854"/>
    <w:rsid w:val="00B4582C"/>
    <w:rsid w:val="00B66E07"/>
    <w:rsid w:val="00B75E84"/>
    <w:rsid w:val="00BB0C7B"/>
    <w:rsid w:val="00BC7820"/>
    <w:rsid w:val="00BC7CB6"/>
    <w:rsid w:val="00BD25DC"/>
    <w:rsid w:val="00BF0C41"/>
    <w:rsid w:val="00BF4DF4"/>
    <w:rsid w:val="00C07776"/>
    <w:rsid w:val="00C07807"/>
    <w:rsid w:val="00C20A01"/>
    <w:rsid w:val="00C478F1"/>
    <w:rsid w:val="00C57448"/>
    <w:rsid w:val="00C6288A"/>
    <w:rsid w:val="00C92735"/>
    <w:rsid w:val="00CA779F"/>
    <w:rsid w:val="00CB4894"/>
    <w:rsid w:val="00CD4DC7"/>
    <w:rsid w:val="00CE7AC7"/>
    <w:rsid w:val="00D33A35"/>
    <w:rsid w:val="00D51F93"/>
    <w:rsid w:val="00D534E3"/>
    <w:rsid w:val="00D9171D"/>
    <w:rsid w:val="00D93EF3"/>
    <w:rsid w:val="00DA0D33"/>
    <w:rsid w:val="00DA335D"/>
    <w:rsid w:val="00DC07CF"/>
    <w:rsid w:val="00DD56E1"/>
    <w:rsid w:val="00E1232B"/>
    <w:rsid w:val="00E213B2"/>
    <w:rsid w:val="00E21B9A"/>
    <w:rsid w:val="00E500A1"/>
    <w:rsid w:val="00E82D05"/>
    <w:rsid w:val="00E86133"/>
    <w:rsid w:val="00E87E89"/>
    <w:rsid w:val="00E90E25"/>
    <w:rsid w:val="00E93318"/>
    <w:rsid w:val="00EB42E8"/>
    <w:rsid w:val="00EC69F7"/>
    <w:rsid w:val="00EE21D4"/>
    <w:rsid w:val="00EE31D3"/>
    <w:rsid w:val="00EF1B5B"/>
    <w:rsid w:val="00F429EF"/>
    <w:rsid w:val="00F6525E"/>
    <w:rsid w:val="00F6603D"/>
    <w:rsid w:val="00F81649"/>
    <w:rsid w:val="00F83311"/>
    <w:rsid w:val="00F8451A"/>
    <w:rsid w:val="00F91387"/>
    <w:rsid w:val="00FA0384"/>
    <w:rsid w:val="00FA0724"/>
    <w:rsid w:val="00FA4D68"/>
    <w:rsid w:val="00FC1F9F"/>
    <w:rsid w:val="00FE0E33"/>
    <w:rsid w:val="00FE2090"/>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F9146"/>
  <w15:docId w15:val="{377945EB-42C7-4C6D-81D6-13A75D42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0A1"/>
  </w:style>
  <w:style w:type="paragraph" w:styleId="Heading1">
    <w:name w:val="heading 1"/>
    <w:basedOn w:val="Normal"/>
    <w:next w:val="Normal"/>
    <w:link w:val="Heading1Char"/>
    <w:uiPriority w:val="9"/>
    <w:qFormat/>
    <w:rsid w:val="00E500A1"/>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500A1"/>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500A1"/>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500A1"/>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500A1"/>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500A1"/>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500A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00A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00A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E2E"/>
    <w:pPr>
      <w:tabs>
        <w:tab w:val="center" w:pos="4513"/>
        <w:tab w:val="right" w:pos="9026"/>
      </w:tabs>
    </w:pPr>
  </w:style>
  <w:style w:type="character" w:customStyle="1" w:styleId="HeaderChar">
    <w:name w:val="Header Char"/>
    <w:basedOn w:val="DefaultParagraphFont"/>
    <w:link w:val="Header"/>
    <w:uiPriority w:val="99"/>
    <w:rsid w:val="00424E2E"/>
    <w:rPr>
      <w:rFonts w:ascii="Times New Roman" w:eastAsia="PMingLiU" w:hAnsi="Times New Roman" w:cs="Times New Roman"/>
      <w:lang w:val="en-US"/>
    </w:rPr>
  </w:style>
  <w:style w:type="paragraph" w:styleId="Footer">
    <w:name w:val="footer"/>
    <w:basedOn w:val="Normal"/>
    <w:link w:val="FooterChar"/>
    <w:uiPriority w:val="99"/>
    <w:unhideWhenUsed/>
    <w:rsid w:val="00424E2E"/>
    <w:pPr>
      <w:tabs>
        <w:tab w:val="center" w:pos="4513"/>
        <w:tab w:val="right" w:pos="9026"/>
      </w:tabs>
    </w:pPr>
  </w:style>
  <w:style w:type="character" w:customStyle="1" w:styleId="FooterChar">
    <w:name w:val="Footer Char"/>
    <w:basedOn w:val="DefaultParagraphFont"/>
    <w:link w:val="Footer"/>
    <w:uiPriority w:val="99"/>
    <w:rsid w:val="00424E2E"/>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E500A1"/>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E500A1"/>
    <w:pPr>
      <w:outlineLvl w:val="9"/>
    </w:pPr>
  </w:style>
  <w:style w:type="paragraph" w:styleId="TOC2">
    <w:name w:val="toc 2"/>
    <w:basedOn w:val="Normal"/>
    <w:next w:val="Normal"/>
    <w:autoRedefine/>
    <w:uiPriority w:val="39"/>
    <w:unhideWhenUsed/>
    <w:rsid w:val="00424E2E"/>
    <w:pPr>
      <w:spacing w:after="100"/>
      <w:ind w:left="220"/>
    </w:pPr>
  </w:style>
  <w:style w:type="character" w:styleId="Hyperlink">
    <w:name w:val="Hyperlink"/>
    <w:basedOn w:val="DefaultParagraphFont"/>
    <w:uiPriority w:val="99"/>
    <w:unhideWhenUsed/>
    <w:rsid w:val="00424E2E"/>
    <w:rPr>
      <w:color w:val="0563C1" w:themeColor="hyperlink"/>
      <w:u w:val="single"/>
    </w:rPr>
  </w:style>
  <w:style w:type="character" w:customStyle="1" w:styleId="Heading2Char">
    <w:name w:val="Heading 2 Char"/>
    <w:basedOn w:val="DefaultParagraphFont"/>
    <w:link w:val="Heading2"/>
    <w:uiPriority w:val="9"/>
    <w:rsid w:val="00E500A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E500A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500A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500A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500A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500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00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00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500A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500A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500A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500A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500A1"/>
    <w:rPr>
      <w:color w:val="5A5A5A" w:themeColor="text1" w:themeTint="A5"/>
      <w:spacing w:val="10"/>
    </w:rPr>
  </w:style>
  <w:style w:type="character" w:styleId="Strong">
    <w:name w:val="Strong"/>
    <w:basedOn w:val="DefaultParagraphFont"/>
    <w:uiPriority w:val="22"/>
    <w:qFormat/>
    <w:rsid w:val="00E500A1"/>
    <w:rPr>
      <w:b/>
      <w:bCs/>
      <w:color w:val="000000" w:themeColor="text1"/>
    </w:rPr>
  </w:style>
  <w:style w:type="character" w:styleId="Emphasis">
    <w:name w:val="Emphasis"/>
    <w:basedOn w:val="DefaultParagraphFont"/>
    <w:uiPriority w:val="20"/>
    <w:qFormat/>
    <w:rsid w:val="00E500A1"/>
    <w:rPr>
      <w:i/>
      <w:iCs/>
      <w:color w:val="auto"/>
    </w:rPr>
  </w:style>
  <w:style w:type="paragraph" w:styleId="NoSpacing">
    <w:name w:val="No Spacing"/>
    <w:uiPriority w:val="1"/>
    <w:qFormat/>
    <w:rsid w:val="00E500A1"/>
    <w:pPr>
      <w:spacing w:after="0" w:line="240" w:lineRule="auto"/>
    </w:pPr>
  </w:style>
  <w:style w:type="paragraph" w:styleId="Quote">
    <w:name w:val="Quote"/>
    <w:basedOn w:val="Normal"/>
    <w:next w:val="Normal"/>
    <w:link w:val="QuoteChar"/>
    <w:uiPriority w:val="29"/>
    <w:qFormat/>
    <w:rsid w:val="00E500A1"/>
    <w:pPr>
      <w:spacing w:before="160"/>
      <w:ind w:left="720" w:right="720"/>
    </w:pPr>
    <w:rPr>
      <w:i/>
      <w:iCs/>
      <w:color w:val="000000" w:themeColor="text1"/>
    </w:rPr>
  </w:style>
  <w:style w:type="character" w:customStyle="1" w:styleId="QuoteChar">
    <w:name w:val="Quote Char"/>
    <w:basedOn w:val="DefaultParagraphFont"/>
    <w:link w:val="Quote"/>
    <w:uiPriority w:val="29"/>
    <w:rsid w:val="00E500A1"/>
    <w:rPr>
      <w:i/>
      <w:iCs/>
      <w:color w:val="000000" w:themeColor="text1"/>
    </w:rPr>
  </w:style>
  <w:style w:type="paragraph" w:styleId="IntenseQuote">
    <w:name w:val="Intense Quote"/>
    <w:basedOn w:val="Normal"/>
    <w:next w:val="Normal"/>
    <w:link w:val="IntenseQuoteChar"/>
    <w:uiPriority w:val="30"/>
    <w:qFormat/>
    <w:rsid w:val="00E500A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500A1"/>
    <w:rPr>
      <w:color w:val="000000" w:themeColor="text1"/>
      <w:shd w:val="clear" w:color="auto" w:fill="F2F2F2" w:themeFill="background1" w:themeFillShade="F2"/>
    </w:rPr>
  </w:style>
  <w:style w:type="character" w:styleId="SubtleEmphasis">
    <w:name w:val="Subtle Emphasis"/>
    <w:basedOn w:val="DefaultParagraphFont"/>
    <w:uiPriority w:val="19"/>
    <w:qFormat/>
    <w:rsid w:val="00E500A1"/>
    <w:rPr>
      <w:i/>
      <w:iCs/>
      <w:color w:val="404040" w:themeColor="text1" w:themeTint="BF"/>
    </w:rPr>
  </w:style>
  <w:style w:type="character" w:styleId="IntenseEmphasis">
    <w:name w:val="Intense Emphasis"/>
    <w:basedOn w:val="DefaultParagraphFont"/>
    <w:uiPriority w:val="21"/>
    <w:qFormat/>
    <w:rsid w:val="00E500A1"/>
    <w:rPr>
      <w:b/>
      <w:bCs/>
      <w:i/>
      <w:iCs/>
      <w:caps/>
    </w:rPr>
  </w:style>
  <w:style w:type="character" w:styleId="SubtleReference">
    <w:name w:val="Subtle Reference"/>
    <w:basedOn w:val="DefaultParagraphFont"/>
    <w:uiPriority w:val="31"/>
    <w:qFormat/>
    <w:rsid w:val="00E500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00A1"/>
    <w:rPr>
      <w:b/>
      <w:bCs/>
      <w:smallCaps/>
      <w:u w:val="single"/>
    </w:rPr>
  </w:style>
  <w:style w:type="character" w:styleId="BookTitle">
    <w:name w:val="Book Title"/>
    <w:basedOn w:val="DefaultParagraphFont"/>
    <w:uiPriority w:val="33"/>
    <w:qFormat/>
    <w:rsid w:val="00E500A1"/>
    <w:rPr>
      <w:b w:val="0"/>
      <w:bCs w:val="0"/>
      <w:smallCaps/>
      <w:spacing w:val="5"/>
    </w:rPr>
  </w:style>
  <w:style w:type="paragraph" w:styleId="ListParagraph">
    <w:name w:val="List Paragraph"/>
    <w:aliases w:val="Quod Section Heading 1,List Paragraph1,List Paragraph11"/>
    <w:basedOn w:val="Normal"/>
    <w:uiPriority w:val="34"/>
    <w:qFormat/>
    <w:rsid w:val="00424E2E"/>
    <w:pPr>
      <w:ind w:left="720"/>
      <w:contextualSpacing/>
    </w:pPr>
  </w:style>
  <w:style w:type="paragraph" w:customStyle="1" w:styleId="Paragraph2">
    <w:name w:val="Paragraph 2"/>
    <w:basedOn w:val="BodyText"/>
    <w:next w:val="BodyText2"/>
    <w:uiPriority w:val="29"/>
    <w:qFormat/>
    <w:rsid w:val="007435AC"/>
    <w:pPr>
      <w:tabs>
        <w:tab w:val="num" w:pos="720"/>
      </w:tabs>
      <w:spacing w:after="240" w:line="240" w:lineRule="atLeast"/>
      <w:ind w:left="720" w:hanging="720"/>
      <w:jc w:val="both"/>
    </w:pPr>
    <w:rPr>
      <w:rFonts w:ascii="Arial" w:eastAsia="Times New Roman" w:hAnsi="Arial" w:cs="Times New Roman"/>
      <w:sz w:val="21"/>
      <w:szCs w:val="21"/>
      <w:lang w:eastAsia="en-GB"/>
    </w:rPr>
  </w:style>
  <w:style w:type="paragraph" w:styleId="BodyText2">
    <w:name w:val="Body Text 2"/>
    <w:basedOn w:val="Normal"/>
    <w:link w:val="BodyText2Char"/>
    <w:uiPriority w:val="99"/>
    <w:unhideWhenUsed/>
    <w:rsid w:val="007435AC"/>
    <w:pPr>
      <w:spacing w:after="120" w:line="480" w:lineRule="auto"/>
    </w:pPr>
    <w:rPr>
      <w:rFonts w:ascii="Times New Roman" w:eastAsia="PMingLiU" w:hAnsi="Times New Roman" w:cs="Times New Roman"/>
      <w:lang w:val="en-US"/>
    </w:rPr>
  </w:style>
  <w:style w:type="character" w:customStyle="1" w:styleId="BodyText2Char">
    <w:name w:val="Body Text 2 Char"/>
    <w:basedOn w:val="DefaultParagraphFont"/>
    <w:link w:val="BodyText2"/>
    <w:uiPriority w:val="99"/>
    <w:rsid w:val="007435AC"/>
    <w:rPr>
      <w:rFonts w:ascii="Times New Roman" w:eastAsia="PMingLiU" w:hAnsi="Times New Roman" w:cs="Times New Roman"/>
      <w:lang w:val="en-US"/>
    </w:rPr>
  </w:style>
  <w:style w:type="paragraph" w:styleId="BodyText">
    <w:name w:val="Body Text"/>
    <w:basedOn w:val="Normal"/>
    <w:link w:val="BodyTextChar"/>
    <w:uiPriority w:val="99"/>
    <w:semiHidden/>
    <w:unhideWhenUsed/>
    <w:rsid w:val="007435AC"/>
    <w:pPr>
      <w:spacing w:after="120"/>
    </w:pPr>
  </w:style>
  <w:style w:type="character" w:customStyle="1" w:styleId="BodyTextChar">
    <w:name w:val="Body Text Char"/>
    <w:basedOn w:val="DefaultParagraphFont"/>
    <w:link w:val="BodyText"/>
    <w:uiPriority w:val="99"/>
    <w:semiHidden/>
    <w:rsid w:val="007435AC"/>
  </w:style>
  <w:style w:type="paragraph" w:styleId="FootnoteText">
    <w:name w:val="footnote text"/>
    <w:basedOn w:val="Normal"/>
    <w:link w:val="FootnoteTextChar"/>
    <w:uiPriority w:val="99"/>
    <w:semiHidden/>
    <w:unhideWhenUsed/>
    <w:rsid w:val="00B75E84"/>
    <w:pPr>
      <w:spacing w:after="0" w:line="240" w:lineRule="auto"/>
    </w:pPr>
    <w:rPr>
      <w:rFonts w:ascii="Arial" w:eastAsiaTheme="minorHAnsi" w:hAnsi="Arial"/>
      <w:color w:val="44546A" w:themeColor="text2"/>
      <w:sz w:val="20"/>
      <w:szCs w:val="20"/>
    </w:rPr>
  </w:style>
  <w:style w:type="character" w:customStyle="1" w:styleId="FootnoteTextChar">
    <w:name w:val="Footnote Text Char"/>
    <w:basedOn w:val="DefaultParagraphFont"/>
    <w:link w:val="FootnoteText"/>
    <w:uiPriority w:val="99"/>
    <w:semiHidden/>
    <w:rsid w:val="00B75E84"/>
    <w:rPr>
      <w:rFonts w:ascii="Arial" w:eastAsiaTheme="minorHAnsi" w:hAnsi="Arial"/>
      <w:color w:val="44546A" w:themeColor="text2"/>
      <w:sz w:val="20"/>
      <w:szCs w:val="20"/>
    </w:rPr>
  </w:style>
  <w:style w:type="paragraph" w:styleId="ListNumber">
    <w:name w:val="List Number"/>
    <w:basedOn w:val="Normal"/>
    <w:uiPriority w:val="2"/>
    <w:semiHidden/>
    <w:unhideWhenUsed/>
    <w:qFormat/>
    <w:rsid w:val="00B75E84"/>
    <w:pPr>
      <w:numPr>
        <w:numId w:val="6"/>
      </w:numPr>
      <w:spacing w:after="80" w:line="240" w:lineRule="auto"/>
      <w:contextualSpacing/>
    </w:pPr>
    <w:rPr>
      <w:rFonts w:ascii="Arial" w:eastAsiaTheme="minorHAnsi" w:hAnsi="Arial"/>
      <w:color w:val="44546A" w:themeColor="text2"/>
      <w:sz w:val="20"/>
    </w:rPr>
  </w:style>
  <w:style w:type="paragraph" w:styleId="ListNumber2">
    <w:name w:val="List Number 2"/>
    <w:basedOn w:val="Normal"/>
    <w:uiPriority w:val="11"/>
    <w:semiHidden/>
    <w:unhideWhenUsed/>
    <w:qFormat/>
    <w:rsid w:val="00B75E84"/>
    <w:pPr>
      <w:numPr>
        <w:ilvl w:val="1"/>
        <w:numId w:val="6"/>
      </w:numPr>
      <w:spacing w:after="80" w:line="240" w:lineRule="auto"/>
      <w:contextualSpacing/>
    </w:pPr>
    <w:rPr>
      <w:rFonts w:ascii="Arial" w:eastAsiaTheme="minorHAnsi" w:hAnsi="Arial"/>
      <w:color w:val="44546A" w:themeColor="text2"/>
      <w:sz w:val="20"/>
    </w:rPr>
  </w:style>
  <w:style w:type="paragraph" w:styleId="ListNumber3">
    <w:name w:val="List Number 3"/>
    <w:basedOn w:val="Normal"/>
    <w:uiPriority w:val="11"/>
    <w:semiHidden/>
    <w:unhideWhenUsed/>
    <w:qFormat/>
    <w:rsid w:val="00B75E84"/>
    <w:pPr>
      <w:numPr>
        <w:ilvl w:val="2"/>
        <w:numId w:val="6"/>
      </w:numPr>
      <w:spacing w:after="80" w:line="240" w:lineRule="auto"/>
      <w:contextualSpacing/>
    </w:pPr>
    <w:rPr>
      <w:rFonts w:ascii="Arial" w:eastAsiaTheme="minorHAnsi" w:hAnsi="Arial"/>
      <w:color w:val="44546A" w:themeColor="text2"/>
      <w:sz w:val="20"/>
    </w:rPr>
  </w:style>
  <w:style w:type="character" w:styleId="FootnoteReference">
    <w:name w:val="footnote reference"/>
    <w:basedOn w:val="DefaultParagraphFont"/>
    <w:uiPriority w:val="99"/>
    <w:semiHidden/>
    <w:unhideWhenUsed/>
    <w:rsid w:val="00B75E84"/>
    <w:rPr>
      <w:vertAlign w:val="superscript"/>
    </w:rPr>
  </w:style>
  <w:style w:type="character" w:customStyle="1" w:styleId="fontstyle01">
    <w:name w:val="fontstyle01"/>
    <w:basedOn w:val="DefaultParagraphFont"/>
    <w:rsid w:val="008C5962"/>
    <w:rPr>
      <w:rFonts w:ascii="Calibri" w:hAnsi="Calibri" w:cs="Calibri" w:hint="default"/>
      <w:b w:val="0"/>
      <w:bCs w:val="0"/>
      <w:i w:val="0"/>
      <w:iCs w:val="0"/>
      <w:color w:val="5A5A5A"/>
      <w:sz w:val="24"/>
      <w:szCs w:val="24"/>
    </w:rPr>
  </w:style>
  <w:style w:type="paragraph" w:styleId="TOC1">
    <w:name w:val="toc 1"/>
    <w:basedOn w:val="Normal"/>
    <w:next w:val="Normal"/>
    <w:autoRedefine/>
    <w:uiPriority w:val="39"/>
    <w:unhideWhenUsed/>
    <w:rsid w:val="009E0174"/>
    <w:pPr>
      <w:spacing w:after="100"/>
    </w:pPr>
  </w:style>
  <w:style w:type="paragraph" w:styleId="BalloonText">
    <w:name w:val="Balloon Text"/>
    <w:basedOn w:val="Normal"/>
    <w:link w:val="BalloonTextChar"/>
    <w:uiPriority w:val="99"/>
    <w:semiHidden/>
    <w:unhideWhenUsed/>
    <w:rsid w:val="0028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63"/>
    <w:rPr>
      <w:rFonts w:ascii="Segoe UI" w:hAnsi="Segoe UI" w:cs="Segoe UI"/>
      <w:sz w:val="18"/>
      <w:szCs w:val="18"/>
    </w:rPr>
  </w:style>
  <w:style w:type="character" w:customStyle="1" w:styleId="fontstyle21">
    <w:name w:val="fontstyle21"/>
    <w:basedOn w:val="DefaultParagraphFont"/>
    <w:rsid w:val="00A51636"/>
    <w:rPr>
      <w:rFonts w:ascii="Arial-BoldMT" w:hAnsi="Arial-BoldMT" w:hint="default"/>
      <w:b/>
      <w:bCs/>
      <w:i w:val="0"/>
      <w:iCs w:val="0"/>
      <w:color w:val="000000"/>
      <w:sz w:val="22"/>
      <w:szCs w:val="22"/>
    </w:rPr>
  </w:style>
  <w:style w:type="character" w:styleId="CommentReference">
    <w:name w:val="annotation reference"/>
    <w:basedOn w:val="DefaultParagraphFont"/>
    <w:uiPriority w:val="99"/>
    <w:semiHidden/>
    <w:unhideWhenUsed/>
    <w:rsid w:val="00AC6DBC"/>
    <w:rPr>
      <w:sz w:val="16"/>
      <w:szCs w:val="16"/>
    </w:rPr>
  </w:style>
  <w:style w:type="paragraph" w:styleId="CommentText">
    <w:name w:val="annotation text"/>
    <w:basedOn w:val="Normal"/>
    <w:link w:val="CommentTextChar"/>
    <w:uiPriority w:val="99"/>
    <w:semiHidden/>
    <w:unhideWhenUsed/>
    <w:rsid w:val="00AC6DBC"/>
    <w:pPr>
      <w:spacing w:line="240" w:lineRule="auto"/>
    </w:pPr>
    <w:rPr>
      <w:sz w:val="20"/>
      <w:szCs w:val="20"/>
    </w:rPr>
  </w:style>
  <w:style w:type="character" w:customStyle="1" w:styleId="CommentTextChar">
    <w:name w:val="Comment Text Char"/>
    <w:basedOn w:val="DefaultParagraphFont"/>
    <w:link w:val="CommentText"/>
    <w:uiPriority w:val="99"/>
    <w:semiHidden/>
    <w:rsid w:val="00AC6DBC"/>
    <w:rPr>
      <w:sz w:val="20"/>
      <w:szCs w:val="20"/>
    </w:rPr>
  </w:style>
  <w:style w:type="paragraph" w:styleId="CommentSubject">
    <w:name w:val="annotation subject"/>
    <w:basedOn w:val="CommentText"/>
    <w:next w:val="CommentText"/>
    <w:link w:val="CommentSubjectChar"/>
    <w:uiPriority w:val="99"/>
    <w:semiHidden/>
    <w:unhideWhenUsed/>
    <w:rsid w:val="00AC6DBC"/>
    <w:rPr>
      <w:b/>
      <w:bCs/>
    </w:rPr>
  </w:style>
  <w:style w:type="character" w:customStyle="1" w:styleId="CommentSubjectChar">
    <w:name w:val="Comment Subject Char"/>
    <w:basedOn w:val="CommentTextChar"/>
    <w:link w:val="CommentSubject"/>
    <w:uiPriority w:val="99"/>
    <w:semiHidden/>
    <w:rsid w:val="00AC6D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5169">
      <w:bodyDiv w:val="1"/>
      <w:marLeft w:val="0"/>
      <w:marRight w:val="0"/>
      <w:marTop w:val="0"/>
      <w:marBottom w:val="0"/>
      <w:divBdr>
        <w:top w:val="none" w:sz="0" w:space="0" w:color="auto"/>
        <w:left w:val="none" w:sz="0" w:space="0" w:color="auto"/>
        <w:bottom w:val="none" w:sz="0" w:space="0" w:color="auto"/>
        <w:right w:val="none" w:sz="0" w:space="0" w:color="auto"/>
      </w:divBdr>
    </w:div>
    <w:div w:id="482504252">
      <w:bodyDiv w:val="1"/>
      <w:marLeft w:val="0"/>
      <w:marRight w:val="0"/>
      <w:marTop w:val="0"/>
      <w:marBottom w:val="0"/>
      <w:divBdr>
        <w:top w:val="none" w:sz="0" w:space="0" w:color="auto"/>
        <w:left w:val="none" w:sz="0" w:space="0" w:color="auto"/>
        <w:bottom w:val="none" w:sz="0" w:space="0" w:color="auto"/>
        <w:right w:val="none" w:sz="0" w:space="0" w:color="auto"/>
      </w:divBdr>
    </w:div>
    <w:div w:id="864706953">
      <w:bodyDiv w:val="1"/>
      <w:marLeft w:val="0"/>
      <w:marRight w:val="0"/>
      <w:marTop w:val="0"/>
      <w:marBottom w:val="0"/>
      <w:divBdr>
        <w:top w:val="none" w:sz="0" w:space="0" w:color="auto"/>
        <w:left w:val="none" w:sz="0" w:space="0" w:color="auto"/>
        <w:bottom w:val="none" w:sz="0" w:space="0" w:color="auto"/>
        <w:right w:val="none" w:sz="0" w:space="0" w:color="auto"/>
      </w:divBdr>
    </w:div>
    <w:div w:id="1206719711">
      <w:bodyDiv w:val="1"/>
      <w:marLeft w:val="0"/>
      <w:marRight w:val="0"/>
      <w:marTop w:val="0"/>
      <w:marBottom w:val="0"/>
      <w:divBdr>
        <w:top w:val="none" w:sz="0" w:space="0" w:color="auto"/>
        <w:left w:val="none" w:sz="0" w:space="0" w:color="auto"/>
        <w:bottom w:val="none" w:sz="0" w:space="0" w:color="auto"/>
        <w:right w:val="none" w:sz="0" w:space="0" w:color="auto"/>
      </w:divBdr>
    </w:div>
    <w:div w:id="21101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7B32-75E5-40E4-A480-848B8C383984}">
  <ds:schemaRefs>
    <ds:schemaRef ds:uri="fdb045f7-ceaa-45c8-bcd3-03a4b3b33d8f"/>
    <ds:schemaRef ds:uri="http://purl.org/dc/elements/1.1/"/>
    <ds:schemaRef ds:uri="http://schemas.openxmlformats.org/package/2006/metadata/core-properties"/>
    <ds:schemaRef ds:uri="1dd07d8f-6939-48c3-94a6-366437224a38"/>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2C7D4524-784F-435E-90B9-ADBBA8E4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6460B-B413-46C5-B572-6E438D5F4925}">
  <ds:schemaRefs>
    <ds:schemaRef ds:uri="http://schemas.microsoft.com/sharepoint/v3/contenttype/forms"/>
  </ds:schemaRefs>
</ds:datastoreItem>
</file>

<file path=customXml/itemProps4.xml><?xml version="1.0" encoding="utf-8"?>
<ds:datastoreItem xmlns:ds="http://schemas.openxmlformats.org/officeDocument/2006/customXml" ds:itemID="{EC62480B-40B4-4E56-9104-598280BB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Nunns, Charlotte</dc:creator>
  <cp:keywords/>
  <dc:description/>
  <cp:lastModifiedBy>Manku, Nina: WCC</cp:lastModifiedBy>
  <cp:revision>2</cp:revision>
  <cp:lastPrinted>2020-04-17T16:28:00Z</cp:lastPrinted>
  <dcterms:created xsi:type="dcterms:W3CDTF">2020-09-23T07:50:00Z</dcterms:created>
  <dcterms:modified xsi:type="dcterms:W3CDTF">2020-09-23T07:50:00Z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