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03282" w14:textId="77777777" w:rsidR="00C77A9F" w:rsidRPr="00B1229A" w:rsidRDefault="00C77A9F" w:rsidP="00C77A9F">
      <w:pPr>
        <w:spacing w:before="9" w:line="279" w:lineRule="exact"/>
        <w:jc w:val="center"/>
        <w:textAlignment w:val="baseline"/>
        <w:rPr>
          <w:rFonts w:eastAsia="Times New Roman"/>
          <w:b/>
          <w:color w:val="000000"/>
          <w:spacing w:val="-3"/>
          <w:sz w:val="25"/>
        </w:rPr>
      </w:pPr>
      <w:bookmarkStart w:id="0" w:name="_Hlk5089697"/>
      <w:bookmarkStart w:id="1" w:name="_GoBack"/>
      <w:bookmarkEnd w:id="1"/>
      <w:r w:rsidRPr="00B1229A">
        <w:rPr>
          <w:rFonts w:eastAsia="Times New Roman"/>
          <w:b/>
          <w:color w:val="000000"/>
          <w:spacing w:val="-3"/>
          <w:sz w:val="25"/>
        </w:rPr>
        <w:t xml:space="preserve">SECTION 77 OF THE TOWN AND COUNTRY PLANNING ACT </w:t>
      </w:r>
      <w:r w:rsidRPr="00B1229A">
        <w:rPr>
          <w:rFonts w:eastAsia="Times New Roman"/>
          <w:b/>
          <w:color w:val="000000"/>
          <w:spacing w:val="-3"/>
          <w:sz w:val="25"/>
        </w:rPr>
        <w:br/>
        <w:t xml:space="preserve">1990 (AS AMENDED) </w:t>
      </w:r>
    </w:p>
    <w:p w14:paraId="0D9E813E" w14:textId="77777777" w:rsidR="00C77A9F" w:rsidRPr="00B1229A" w:rsidRDefault="00C77A9F" w:rsidP="00C77A9F">
      <w:pPr>
        <w:spacing w:before="9" w:line="279" w:lineRule="exact"/>
        <w:jc w:val="center"/>
        <w:textAlignment w:val="baseline"/>
        <w:rPr>
          <w:rFonts w:eastAsia="Times New Roman"/>
          <w:b/>
          <w:color w:val="000000"/>
          <w:spacing w:val="-3"/>
          <w:sz w:val="25"/>
        </w:rPr>
      </w:pPr>
    </w:p>
    <w:p w14:paraId="14D0DD1A" w14:textId="77777777" w:rsidR="00C77A9F" w:rsidRPr="00B1229A" w:rsidRDefault="00C77A9F" w:rsidP="00C77A9F">
      <w:pPr>
        <w:spacing w:before="9" w:line="279" w:lineRule="exact"/>
        <w:jc w:val="center"/>
        <w:textAlignment w:val="baseline"/>
        <w:rPr>
          <w:rFonts w:eastAsia="Times New Roman"/>
          <w:b/>
          <w:color w:val="000000"/>
          <w:spacing w:val="-3"/>
          <w:sz w:val="25"/>
        </w:rPr>
      </w:pPr>
    </w:p>
    <w:p w14:paraId="2BBEDD0D" w14:textId="77777777" w:rsidR="00C77A9F" w:rsidRPr="00B1229A" w:rsidRDefault="00C77A9F" w:rsidP="00C77A9F">
      <w:pPr>
        <w:spacing w:before="9" w:line="279" w:lineRule="exact"/>
        <w:jc w:val="center"/>
        <w:textAlignment w:val="baseline"/>
        <w:rPr>
          <w:rFonts w:eastAsia="Times New Roman"/>
          <w:b/>
          <w:color w:val="000000"/>
          <w:spacing w:val="-3"/>
          <w:sz w:val="25"/>
        </w:rPr>
      </w:pPr>
    </w:p>
    <w:p w14:paraId="543314D0" w14:textId="77777777" w:rsidR="00C77A9F" w:rsidRPr="00B1229A" w:rsidRDefault="00C77A9F" w:rsidP="00C77A9F">
      <w:pPr>
        <w:spacing w:before="9" w:line="279" w:lineRule="exact"/>
        <w:jc w:val="center"/>
        <w:textAlignment w:val="baseline"/>
        <w:rPr>
          <w:rFonts w:eastAsia="Times New Roman"/>
          <w:b/>
          <w:color w:val="000000"/>
          <w:spacing w:val="-3"/>
          <w:sz w:val="25"/>
        </w:rPr>
      </w:pPr>
    </w:p>
    <w:p w14:paraId="46B24847" w14:textId="77777777" w:rsidR="00C77A9F" w:rsidRPr="00B1229A" w:rsidRDefault="00C77A9F" w:rsidP="00C77A9F">
      <w:pPr>
        <w:spacing w:before="9" w:line="279" w:lineRule="exact"/>
        <w:jc w:val="center"/>
        <w:textAlignment w:val="baseline"/>
        <w:rPr>
          <w:rFonts w:eastAsia="Times New Roman"/>
          <w:b/>
          <w:color w:val="000000"/>
          <w:spacing w:val="-3"/>
          <w:sz w:val="25"/>
        </w:rPr>
      </w:pPr>
    </w:p>
    <w:p w14:paraId="408BA808" w14:textId="77777777" w:rsidR="00C77A9F" w:rsidRPr="00E65990" w:rsidRDefault="00C77A9F" w:rsidP="00C77A9F">
      <w:pPr>
        <w:spacing w:before="9" w:line="279" w:lineRule="exact"/>
        <w:jc w:val="center"/>
        <w:textAlignment w:val="baseline"/>
        <w:rPr>
          <w:rFonts w:eastAsia="Times New Roman"/>
          <w:b/>
          <w:color w:val="000000"/>
          <w:spacing w:val="-3"/>
          <w:sz w:val="25"/>
        </w:rPr>
      </w:pPr>
      <w:r w:rsidRPr="00B1229A">
        <w:rPr>
          <w:rFonts w:eastAsia="Times New Roman"/>
          <w:b/>
          <w:color w:val="000000"/>
          <w:spacing w:val="-3"/>
          <w:sz w:val="25"/>
        </w:rPr>
        <w:t xml:space="preserve">CALL IN INQUIRY INTO THE PROPOSED DEVELOPMENT OF THE UNITED KINGDOM HOLOCAUST </w:t>
      </w:r>
      <w:r w:rsidRPr="00E65990">
        <w:rPr>
          <w:rFonts w:eastAsia="Times New Roman"/>
          <w:b/>
          <w:color w:val="000000"/>
          <w:spacing w:val="-3"/>
          <w:sz w:val="25"/>
        </w:rPr>
        <w:t>MEMORIAL AND LEARNING CENTRE LOCATED WITHIN VICTORIA TOWER GARDENS, MILLBANK, LONDON SW1P 3YB</w:t>
      </w:r>
    </w:p>
    <w:p w14:paraId="48BA0563" w14:textId="77777777" w:rsidR="00C77A9F" w:rsidRPr="00E65990" w:rsidRDefault="00C77A9F" w:rsidP="00C77A9F">
      <w:pPr>
        <w:spacing w:before="276" w:line="276" w:lineRule="exact"/>
        <w:jc w:val="center"/>
        <w:textAlignment w:val="baseline"/>
        <w:rPr>
          <w:rFonts w:eastAsia="Times New Roman"/>
          <w:b/>
          <w:color w:val="000000"/>
          <w:sz w:val="25"/>
        </w:rPr>
      </w:pPr>
    </w:p>
    <w:p w14:paraId="236D6F93" w14:textId="081D2A10" w:rsidR="00C77A9F" w:rsidRPr="00E65990" w:rsidRDefault="00C77A9F" w:rsidP="00C77A9F">
      <w:pPr>
        <w:spacing w:before="276" w:line="276" w:lineRule="exact"/>
        <w:jc w:val="center"/>
        <w:textAlignment w:val="baseline"/>
        <w:rPr>
          <w:rFonts w:eastAsia="Times New Roman"/>
          <w:b/>
          <w:color w:val="000000"/>
          <w:sz w:val="25"/>
        </w:rPr>
      </w:pPr>
      <w:r w:rsidRPr="00E65990">
        <w:rPr>
          <w:rFonts w:eastAsia="Times New Roman"/>
          <w:b/>
          <w:color w:val="000000"/>
          <w:sz w:val="25"/>
        </w:rPr>
        <w:t xml:space="preserve">PROOF OF EVIDENCE OF </w:t>
      </w:r>
      <w:r w:rsidR="003B3445">
        <w:rPr>
          <w:rFonts w:eastAsia="Times New Roman"/>
          <w:b/>
          <w:color w:val="000000"/>
          <w:sz w:val="25"/>
        </w:rPr>
        <w:t>ALAN FORD</w:t>
      </w:r>
      <w:r w:rsidRPr="00E65990">
        <w:rPr>
          <w:rFonts w:eastAsia="Times New Roman"/>
          <w:b/>
          <w:color w:val="000000"/>
          <w:sz w:val="25"/>
        </w:rPr>
        <w:t xml:space="preserve">, </w:t>
      </w:r>
      <w:r w:rsidR="00316E52" w:rsidRPr="00E65990">
        <w:rPr>
          <w:rFonts w:eastAsia="Times New Roman"/>
          <w:b/>
          <w:color w:val="000000"/>
          <w:sz w:val="25"/>
        </w:rPr>
        <w:t>BA</w:t>
      </w:r>
      <w:r w:rsidR="003B3445">
        <w:rPr>
          <w:rFonts w:eastAsia="Times New Roman"/>
          <w:b/>
          <w:color w:val="000000"/>
          <w:sz w:val="25"/>
        </w:rPr>
        <w:t xml:space="preserve"> (Hons)</w:t>
      </w:r>
      <w:r w:rsidR="00316E52" w:rsidRPr="00E65990">
        <w:rPr>
          <w:rFonts w:eastAsia="Times New Roman"/>
          <w:b/>
          <w:color w:val="000000"/>
          <w:sz w:val="25"/>
        </w:rPr>
        <w:t xml:space="preserve">, </w:t>
      </w:r>
      <w:r w:rsidR="003B3445">
        <w:rPr>
          <w:rFonts w:eastAsia="Times New Roman"/>
          <w:b/>
          <w:color w:val="000000"/>
          <w:sz w:val="25"/>
        </w:rPr>
        <w:t>MCIfA</w:t>
      </w:r>
    </w:p>
    <w:p w14:paraId="385E0E41" w14:textId="77777777" w:rsidR="00C77A9F" w:rsidRPr="00B1229A" w:rsidRDefault="00C77A9F" w:rsidP="00C77A9F">
      <w:pPr>
        <w:spacing w:before="276" w:line="276" w:lineRule="exact"/>
        <w:jc w:val="center"/>
        <w:textAlignment w:val="baseline"/>
        <w:rPr>
          <w:rFonts w:eastAsia="Times New Roman"/>
          <w:b/>
          <w:color w:val="000000"/>
          <w:sz w:val="25"/>
        </w:rPr>
      </w:pPr>
      <w:r w:rsidRPr="00E65990">
        <w:rPr>
          <w:rFonts w:eastAsia="Times New Roman"/>
          <w:b/>
          <w:color w:val="000000"/>
          <w:sz w:val="25"/>
        </w:rPr>
        <w:t>On behalf of</w:t>
      </w:r>
    </w:p>
    <w:p w14:paraId="0B55A1C4" w14:textId="77777777" w:rsidR="00C77A9F" w:rsidRPr="00B1229A" w:rsidRDefault="00C77A9F" w:rsidP="00C77A9F">
      <w:pPr>
        <w:spacing w:before="276" w:line="276" w:lineRule="exact"/>
        <w:jc w:val="center"/>
        <w:textAlignment w:val="baseline"/>
        <w:rPr>
          <w:rFonts w:eastAsia="Times New Roman"/>
          <w:b/>
          <w:color w:val="000000"/>
          <w:sz w:val="25"/>
        </w:rPr>
      </w:pPr>
      <w:r w:rsidRPr="00B1229A">
        <w:rPr>
          <w:rFonts w:eastAsia="Times New Roman"/>
          <w:b/>
          <w:color w:val="000000"/>
          <w:sz w:val="25"/>
        </w:rPr>
        <w:t>THE SECRETARY OF STATE FOR HOUSING COMMUNITIES AND LOCAL GOVERNMENT</w:t>
      </w:r>
    </w:p>
    <w:p w14:paraId="6F2BA0FC" w14:textId="77777777" w:rsidR="00C77A9F" w:rsidRPr="00B1229A" w:rsidRDefault="00C77A9F" w:rsidP="00C77A9F">
      <w:pPr>
        <w:spacing w:before="276" w:line="276" w:lineRule="exact"/>
        <w:textAlignment w:val="baseline"/>
        <w:rPr>
          <w:rFonts w:eastAsia="Times New Roman"/>
          <w:b/>
          <w:color w:val="000000"/>
          <w:sz w:val="25"/>
        </w:rPr>
      </w:pPr>
    </w:p>
    <w:p w14:paraId="77CBDA01" w14:textId="77777777" w:rsidR="00C77A9F" w:rsidRPr="00E65990" w:rsidRDefault="00C77A9F" w:rsidP="00C77A9F">
      <w:pPr>
        <w:spacing w:before="875" w:after="4730" w:line="273" w:lineRule="exact"/>
        <w:jc w:val="center"/>
        <w:textAlignment w:val="baseline"/>
        <w:rPr>
          <w:rFonts w:eastAsia="Times New Roman"/>
          <w:b/>
          <w:color w:val="000000"/>
          <w:sz w:val="25"/>
        </w:rPr>
      </w:pPr>
      <w:r w:rsidRPr="00B1229A">
        <w:rPr>
          <w:rFonts w:eastAsia="Times New Roman"/>
          <w:b/>
          <w:color w:val="000000"/>
          <w:sz w:val="25"/>
        </w:rPr>
        <w:t xml:space="preserve">TOWN AND COUNTRY PLANNING (INQUIRIES </w:t>
      </w:r>
      <w:r w:rsidRPr="00B1229A">
        <w:rPr>
          <w:rFonts w:eastAsia="Times New Roman"/>
          <w:b/>
          <w:color w:val="000000"/>
          <w:sz w:val="25"/>
        </w:rPr>
        <w:br/>
      </w:r>
      <w:r w:rsidRPr="00E65990">
        <w:rPr>
          <w:rFonts w:eastAsia="Times New Roman"/>
          <w:b/>
          <w:color w:val="000000"/>
          <w:sz w:val="25"/>
        </w:rPr>
        <w:t>PROCEDURE) (ENGLAND) RULES 2000</w:t>
      </w:r>
      <w:bookmarkEnd w:id="0"/>
    </w:p>
    <w:p w14:paraId="62775F4F" w14:textId="0DAA09F1" w:rsidR="00C77A9F" w:rsidRPr="00B1229A" w:rsidRDefault="00E842F6" w:rsidP="00C77A9F">
      <w:pPr>
        <w:spacing w:before="875" w:after="4730" w:line="273" w:lineRule="exact"/>
        <w:jc w:val="center"/>
        <w:textAlignment w:val="baseline"/>
        <w:rPr>
          <w:rFonts w:eastAsia="Times New Roman"/>
          <w:b/>
          <w:color w:val="000000"/>
          <w:sz w:val="25"/>
        </w:rPr>
      </w:pPr>
      <w:r w:rsidRPr="00E65990">
        <w:rPr>
          <w:rFonts w:eastAsia="Times New Roman"/>
          <w:b/>
          <w:color w:val="000000"/>
          <w:sz w:val="25"/>
        </w:rPr>
        <w:t xml:space="preserve">V1 </w:t>
      </w:r>
      <w:r w:rsidR="0050582D">
        <w:rPr>
          <w:rFonts w:eastAsia="Times New Roman"/>
          <w:b/>
          <w:color w:val="000000"/>
          <w:sz w:val="25"/>
        </w:rPr>
        <w:t>07/09</w:t>
      </w:r>
      <w:r w:rsidR="003B3445">
        <w:rPr>
          <w:rFonts w:eastAsia="Times New Roman"/>
          <w:b/>
          <w:color w:val="000000"/>
          <w:sz w:val="25"/>
        </w:rPr>
        <w:t>/20</w:t>
      </w:r>
    </w:p>
    <w:p w14:paraId="189038C9" w14:textId="77777777" w:rsidR="00C77A9F" w:rsidRPr="00B1229A" w:rsidRDefault="00C77A9F" w:rsidP="00C77A9F">
      <w:pPr>
        <w:spacing w:before="875" w:after="4730" w:line="273" w:lineRule="exact"/>
        <w:jc w:val="center"/>
        <w:textAlignment w:val="baseline"/>
        <w:rPr>
          <w:rFonts w:eastAsia="Times New Roman"/>
          <w:b/>
          <w:color w:val="000000"/>
          <w:sz w:val="25"/>
        </w:rPr>
        <w:sectPr w:rsidR="00C77A9F" w:rsidRPr="00B1229A" w:rsidSect="00C77A9F">
          <w:footerReference w:type="default" r:id="rId11"/>
          <w:pgSz w:w="11909" w:h="16838"/>
          <w:pgMar w:top="1420" w:right="1523" w:bottom="562" w:left="1526" w:header="720" w:footer="720" w:gutter="0"/>
          <w:cols w:space="720"/>
        </w:sectPr>
      </w:pPr>
    </w:p>
    <w:p w14:paraId="6FDF3DC0" w14:textId="77777777" w:rsidR="00C77A9F" w:rsidRPr="00B1229A" w:rsidRDefault="00C77A9F" w:rsidP="00C77A9F">
      <w:pPr>
        <w:spacing w:before="10" w:line="278" w:lineRule="exact"/>
        <w:textAlignment w:val="baseline"/>
        <w:rPr>
          <w:rFonts w:eastAsia="Times New Roman"/>
          <w:color w:val="000000"/>
          <w:spacing w:val="-6"/>
          <w:sz w:val="25"/>
        </w:rPr>
        <w:sectPr w:rsidR="00C77A9F" w:rsidRPr="00B1229A">
          <w:type w:val="continuous"/>
          <w:pgSz w:w="11909" w:h="16838"/>
          <w:pgMar w:top="1420" w:right="1363" w:bottom="562" w:left="9466" w:header="720" w:footer="720" w:gutter="0"/>
          <w:cols w:space="720"/>
        </w:sectPr>
      </w:pPr>
    </w:p>
    <w:p w14:paraId="6250DA92" w14:textId="77777777" w:rsidR="00C77A9F" w:rsidRPr="00B1229A" w:rsidRDefault="00C77A9F" w:rsidP="00C77A9F">
      <w:pPr>
        <w:spacing w:before="21" w:line="273" w:lineRule="exact"/>
        <w:textAlignment w:val="baseline"/>
        <w:rPr>
          <w:rFonts w:eastAsia="Times New Roman"/>
          <w:b/>
          <w:color w:val="000000"/>
          <w:spacing w:val="-1"/>
          <w:sz w:val="24"/>
        </w:rPr>
      </w:pPr>
      <w:r w:rsidRPr="00B1229A">
        <w:rPr>
          <w:rFonts w:eastAsia="Times New Roman"/>
          <w:b/>
          <w:color w:val="000000"/>
          <w:spacing w:val="-1"/>
          <w:sz w:val="24"/>
        </w:rPr>
        <w:lastRenderedPageBreak/>
        <w:t>CONTENTS</w:t>
      </w:r>
    </w:p>
    <w:sdt>
      <w:sdtPr>
        <w:rPr>
          <w:rFonts w:ascii="Times New Roman" w:eastAsia="PMingLiU" w:hAnsi="Times New Roman" w:cs="Times New Roman"/>
          <w:color w:val="auto"/>
          <w:sz w:val="22"/>
          <w:szCs w:val="22"/>
        </w:rPr>
        <w:id w:val="-761218831"/>
        <w:docPartObj>
          <w:docPartGallery w:val="Table of Contents"/>
          <w:docPartUnique/>
        </w:docPartObj>
      </w:sdtPr>
      <w:sdtEndPr>
        <w:rPr>
          <w:b/>
          <w:bCs/>
          <w:noProof/>
        </w:rPr>
      </w:sdtEndPr>
      <w:sdtContent>
        <w:p w14:paraId="52DDFB90" w14:textId="77777777" w:rsidR="00C77A9F" w:rsidRPr="00B1229A" w:rsidRDefault="00C77A9F" w:rsidP="00C77A9F">
          <w:pPr>
            <w:pStyle w:val="TOCHeading"/>
            <w:rPr>
              <w:rFonts w:ascii="Times New Roman" w:hAnsi="Times New Roman" w:cs="Times New Roman"/>
            </w:rPr>
          </w:pPr>
        </w:p>
        <w:p w14:paraId="2908AC10" w14:textId="77777777" w:rsidR="00C77A9F" w:rsidRPr="00B1229A" w:rsidRDefault="00C77A9F" w:rsidP="00C77A9F"/>
        <w:p w14:paraId="4CBDB91A" w14:textId="77777777" w:rsidR="00C77A9F" w:rsidRPr="00B1229A" w:rsidRDefault="00C77A9F" w:rsidP="00C77A9F"/>
        <w:p w14:paraId="265F49DB" w14:textId="258AAC17" w:rsidR="00BB3ECF" w:rsidRDefault="00C77A9F">
          <w:pPr>
            <w:pStyle w:val="TOC2"/>
            <w:tabs>
              <w:tab w:val="right" w:leader="dot" w:pos="9019"/>
            </w:tabs>
            <w:rPr>
              <w:rFonts w:asciiTheme="minorHAnsi" w:eastAsiaTheme="minorEastAsia" w:hAnsiTheme="minorHAnsi" w:cstheme="minorBidi"/>
              <w:noProof/>
              <w:lang w:val="en-GB" w:eastAsia="en-GB"/>
            </w:rPr>
          </w:pPr>
          <w:r w:rsidRPr="00B1229A">
            <w:rPr>
              <w:b/>
            </w:rPr>
            <w:fldChar w:fldCharType="begin"/>
          </w:r>
          <w:r w:rsidRPr="00B1229A">
            <w:rPr>
              <w:b/>
            </w:rPr>
            <w:instrText xml:space="preserve"> TOC \o "1-3" \h \z \u </w:instrText>
          </w:r>
          <w:r w:rsidRPr="00B1229A">
            <w:rPr>
              <w:b/>
            </w:rPr>
            <w:fldChar w:fldCharType="separate"/>
          </w:r>
          <w:hyperlink w:anchor="_Toc42072438" w:history="1">
            <w:r w:rsidR="00BB3ECF" w:rsidRPr="00FF1CED">
              <w:rPr>
                <w:rStyle w:val="Hyperlink"/>
                <w:rFonts w:eastAsia="Times New Roman"/>
                <w:b/>
                <w:noProof/>
              </w:rPr>
              <w:t>1.0</w:t>
            </w:r>
            <w:r w:rsidR="00BB3ECF" w:rsidRPr="00FF1CED">
              <w:rPr>
                <w:rStyle w:val="Hyperlink"/>
                <w:rFonts w:eastAsia="Times New Roman"/>
                <w:noProof/>
              </w:rPr>
              <w:t xml:space="preserve">        </w:t>
            </w:r>
            <w:r w:rsidR="00BB3ECF" w:rsidRPr="00FF1CED">
              <w:rPr>
                <w:rStyle w:val="Hyperlink"/>
                <w:b/>
                <w:noProof/>
              </w:rPr>
              <w:t>QUALIFICATIONS AND EXPERIENCE</w:t>
            </w:r>
            <w:r w:rsidR="00BB3ECF">
              <w:rPr>
                <w:noProof/>
                <w:webHidden/>
              </w:rPr>
              <w:tab/>
            </w:r>
            <w:r w:rsidR="00BB3ECF">
              <w:rPr>
                <w:noProof/>
                <w:webHidden/>
              </w:rPr>
              <w:fldChar w:fldCharType="begin"/>
            </w:r>
            <w:r w:rsidR="00BB3ECF">
              <w:rPr>
                <w:noProof/>
                <w:webHidden/>
              </w:rPr>
              <w:instrText xml:space="preserve"> PAGEREF _Toc42072438 \h </w:instrText>
            </w:r>
            <w:r w:rsidR="00BB3ECF">
              <w:rPr>
                <w:noProof/>
                <w:webHidden/>
              </w:rPr>
            </w:r>
            <w:r w:rsidR="00BB3ECF">
              <w:rPr>
                <w:noProof/>
                <w:webHidden/>
              </w:rPr>
              <w:fldChar w:fldCharType="separate"/>
            </w:r>
            <w:r w:rsidR="0065605C">
              <w:rPr>
                <w:noProof/>
                <w:webHidden/>
              </w:rPr>
              <w:t>3</w:t>
            </w:r>
            <w:r w:rsidR="00BB3ECF">
              <w:rPr>
                <w:noProof/>
                <w:webHidden/>
              </w:rPr>
              <w:fldChar w:fldCharType="end"/>
            </w:r>
          </w:hyperlink>
        </w:p>
        <w:p w14:paraId="30A11CC5" w14:textId="0567EE6A" w:rsidR="00BB3ECF" w:rsidRDefault="00585676">
          <w:pPr>
            <w:pStyle w:val="TOC2"/>
            <w:tabs>
              <w:tab w:val="left" w:pos="880"/>
              <w:tab w:val="right" w:leader="dot" w:pos="9019"/>
            </w:tabs>
            <w:rPr>
              <w:rFonts w:asciiTheme="minorHAnsi" w:eastAsiaTheme="minorEastAsia" w:hAnsiTheme="minorHAnsi" w:cstheme="minorBidi"/>
              <w:noProof/>
              <w:lang w:val="en-GB" w:eastAsia="en-GB"/>
            </w:rPr>
          </w:pPr>
          <w:hyperlink w:anchor="_Toc42072439" w:history="1">
            <w:r w:rsidR="00BB3ECF" w:rsidRPr="00FF1CED">
              <w:rPr>
                <w:rStyle w:val="Hyperlink"/>
                <w:b/>
                <w:noProof/>
              </w:rPr>
              <w:t>2.0</w:t>
            </w:r>
            <w:r w:rsidR="00BB3ECF">
              <w:rPr>
                <w:rFonts w:asciiTheme="minorHAnsi" w:eastAsiaTheme="minorEastAsia" w:hAnsiTheme="minorHAnsi" w:cstheme="minorBidi"/>
                <w:noProof/>
                <w:lang w:val="en-GB" w:eastAsia="en-GB"/>
              </w:rPr>
              <w:tab/>
            </w:r>
            <w:r w:rsidR="00BB3ECF" w:rsidRPr="00FF1CED">
              <w:rPr>
                <w:rStyle w:val="Hyperlink"/>
                <w:b/>
                <w:noProof/>
              </w:rPr>
              <w:t>INTRODUCTION AND SCOPE OF EVIDENCE</w:t>
            </w:r>
            <w:r w:rsidR="00BB3ECF">
              <w:rPr>
                <w:noProof/>
                <w:webHidden/>
              </w:rPr>
              <w:tab/>
            </w:r>
            <w:r w:rsidR="00BB3ECF">
              <w:rPr>
                <w:noProof/>
                <w:webHidden/>
              </w:rPr>
              <w:fldChar w:fldCharType="begin"/>
            </w:r>
            <w:r w:rsidR="00BB3ECF">
              <w:rPr>
                <w:noProof/>
                <w:webHidden/>
              </w:rPr>
              <w:instrText xml:space="preserve"> PAGEREF _Toc42072439 \h </w:instrText>
            </w:r>
            <w:r w:rsidR="00BB3ECF">
              <w:rPr>
                <w:noProof/>
                <w:webHidden/>
              </w:rPr>
            </w:r>
            <w:r w:rsidR="00BB3ECF">
              <w:rPr>
                <w:noProof/>
                <w:webHidden/>
              </w:rPr>
              <w:fldChar w:fldCharType="separate"/>
            </w:r>
            <w:r w:rsidR="0065605C">
              <w:rPr>
                <w:noProof/>
                <w:webHidden/>
              </w:rPr>
              <w:t>4</w:t>
            </w:r>
            <w:r w:rsidR="00BB3ECF">
              <w:rPr>
                <w:noProof/>
                <w:webHidden/>
              </w:rPr>
              <w:fldChar w:fldCharType="end"/>
            </w:r>
          </w:hyperlink>
        </w:p>
        <w:p w14:paraId="2FD96C9C" w14:textId="3FD9FF02" w:rsidR="00BB3ECF" w:rsidRDefault="00585676">
          <w:pPr>
            <w:pStyle w:val="TOC2"/>
            <w:tabs>
              <w:tab w:val="left" w:pos="880"/>
              <w:tab w:val="right" w:leader="dot" w:pos="9019"/>
            </w:tabs>
            <w:rPr>
              <w:rFonts w:asciiTheme="minorHAnsi" w:eastAsiaTheme="minorEastAsia" w:hAnsiTheme="minorHAnsi" w:cstheme="minorBidi"/>
              <w:noProof/>
              <w:lang w:val="en-GB" w:eastAsia="en-GB"/>
            </w:rPr>
          </w:pPr>
          <w:hyperlink w:anchor="_Toc42072440" w:history="1">
            <w:r w:rsidR="00BB3ECF" w:rsidRPr="00FF1CED">
              <w:rPr>
                <w:rStyle w:val="Hyperlink"/>
                <w:b/>
                <w:noProof/>
              </w:rPr>
              <w:t>3.0</w:t>
            </w:r>
            <w:r w:rsidR="00BB3ECF">
              <w:rPr>
                <w:rFonts w:asciiTheme="minorHAnsi" w:eastAsiaTheme="minorEastAsia" w:hAnsiTheme="minorHAnsi" w:cstheme="minorBidi"/>
                <w:noProof/>
                <w:lang w:val="en-GB" w:eastAsia="en-GB"/>
              </w:rPr>
              <w:tab/>
            </w:r>
            <w:r w:rsidR="00BB3ECF" w:rsidRPr="00FF1CED">
              <w:rPr>
                <w:rStyle w:val="Hyperlink"/>
                <w:b/>
                <w:noProof/>
              </w:rPr>
              <w:t>ARCHAEOLOGICAL ASSESSMENT AND EVALUATION TO DATE</w:t>
            </w:r>
            <w:r w:rsidR="00BB3ECF">
              <w:rPr>
                <w:noProof/>
                <w:webHidden/>
              </w:rPr>
              <w:tab/>
            </w:r>
            <w:r w:rsidR="00BB3ECF">
              <w:rPr>
                <w:noProof/>
                <w:webHidden/>
              </w:rPr>
              <w:fldChar w:fldCharType="begin"/>
            </w:r>
            <w:r w:rsidR="00BB3ECF">
              <w:rPr>
                <w:noProof/>
                <w:webHidden/>
              </w:rPr>
              <w:instrText xml:space="preserve"> PAGEREF _Toc42072440 \h </w:instrText>
            </w:r>
            <w:r w:rsidR="00BB3ECF">
              <w:rPr>
                <w:noProof/>
                <w:webHidden/>
              </w:rPr>
            </w:r>
            <w:r w:rsidR="00BB3ECF">
              <w:rPr>
                <w:noProof/>
                <w:webHidden/>
              </w:rPr>
              <w:fldChar w:fldCharType="separate"/>
            </w:r>
            <w:r w:rsidR="0065605C">
              <w:rPr>
                <w:noProof/>
                <w:webHidden/>
              </w:rPr>
              <w:t>5</w:t>
            </w:r>
            <w:r w:rsidR="00BB3ECF">
              <w:rPr>
                <w:noProof/>
                <w:webHidden/>
              </w:rPr>
              <w:fldChar w:fldCharType="end"/>
            </w:r>
          </w:hyperlink>
        </w:p>
        <w:p w14:paraId="43287B9B" w14:textId="39217885" w:rsidR="00BB3ECF" w:rsidRDefault="00585676">
          <w:pPr>
            <w:pStyle w:val="TOC2"/>
            <w:tabs>
              <w:tab w:val="left" w:pos="880"/>
              <w:tab w:val="right" w:leader="dot" w:pos="9019"/>
            </w:tabs>
            <w:rPr>
              <w:rFonts w:asciiTheme="minorHAnsi" w:eastAsiaTheme="minorEastAsia" w:hAnsiTheme="minorHAnsi" w:cstheme="minorBidi"/>
              <w:noProof/>
              <w:lang w:val="en-GB" w:eastAsia="en-GB"/>
            </w:rPr>
          </w:pPr>
          <w:hyperlink w:anchor="_Toc42072441" w:history="1">
            <w:r w:rsidR="00BB3ECF" w:rsidRPr="00FF1CED">
              <w:rPr>
                <w:rStyle w:val="Hyperlink"/>
                <w:b/>
                <w:noProof/>
              </w:rPr>
              <w:t>4.0</w:t>
            </w:r>
            <w:r w:rsidR="00BB3ECF">
              <w:rPr>
                <w:rFonts w:asciiTheme="minorHAnsi" w:eastAsiaTheme="minorEastAsia" w:hAnsiTheme="minorHAnsi" w:cstheme="minorBidi"/>
                <w:noProof/>
                <w:lang w:val="en-GB" w:eastAsia="en-GB"/>
              </w:rPr>
              <w:tab/>
            </w:r>
            <w:r w:rsidR="00BB3ECF" w:rsidRPr="00FF1CED">
              <w:rPr>
                <w:rStyle w:val="Hyperlink"/>
                <w:b/>
                <w:noProof/>
              </w:rPr>
              <w:t>ARCHAEOLOGICAL MANAGEMENT PLAN</w:t>
            </w:r>
            <w:r w:rsidR="00BB3ECF">
              <w:rPr>
                <w:noProof/>
                <w:webHidden/>
              </w:rPr>
              <w:tab/>
            </w:r>
            <w:r w:rsidR="00BB3ECF">
              <w:rPr>
                <w:noProof/>
                <w:webHidden/>
              </w:rPr>
              <w:fldChar w:fldCharType="begin"/>
            </w:r>
            <w:r w:rsidR="00BB3ECF">
              <w:rPr>
                <w:noProof/>
                <w:webHidden/>
              </w:rPr>
              <w:instrText xml:space="preserve"> PAGEREF _Toc42072441 \h </w:instrText>
            </w:r>
            <w:r w:rsidR="00BB3ECF">
              <w:rPr>
                <w:noProof/>
                <w:webHidden/>
              </w:rPr>
            </w:r>
            <w:r w:rsidR="00BB3ECF">
              <w:rPr>
                <w:noProof/>
                <w:webHidden/>
              </w:rPr>
              <w:fldChar w:fldCharType="separate"/>
            </w:r>
            <w:r w:rsidR="0065605C">
              <w:rPr>
                <w:noProof/>
                <w:webHidden/>
              </w:rPr>
              <w:t>9</w:t>
            </w:r>
            <w:r w:rsidR="00BB3ECF">
              <w:rPr>
                <w:noProof/>
                <w:webHidden/>
              </w:rPr>
              <w:fldChar w:fldCharType="end"/>
            </w:r>
          </w:hyperlink>
        </w:p>
        <w:p w14:paraId="031AC879" w14:textId="68E19A5C" w:rsidR="00BB3ECF" w:rsidRDefault="00585676">
          <w:pPr>
            <w:pStyle w:val="TOC2"/>
            <w:tabs>
              <w:tab w:val="left" w:pos="880"/>
              <w:tab w:val="right" w:leader="dot" w:pos="9019"/>
            </w:tabs>
            <w:rPr>
              <w:rFonts w:asciiTheme="minorHAnsi" w:eastAsiaTheme="minorEastAsia" w:hAnsiTheme="minorHAnsi" w:cstheme="minorBidi"/>
              <w:noProof/>
              <w:lang w:val="en-GB" w:eastAsia="en-GB"/>
            </w:rPr>
          </w:pPr>
          <w:hyperlink w:anchor="_Toc42072442" w:history="1">
            <w:r w:rsidR="00BB3ECF" w:rsidRPr="00FF1CED">
              <w:rPr>
                <w:rStyle w:val="Hyperlink"/>
                <w:b/>
                <w:noProof/>
              </w:rPr>
              <w:t>5.0</w:t>
            </w:r>
            <w:r w:rsidR="00BB3ECF">
              <w:rPr>
                <w:rFonts w:asciiTheme="minorHAnsi" w:eastAsiaTheme="minorEastAsia" w:hAnsiTheme="minorHAnsi" w:cstheme="minorBidi"/>
                <w:noProof/>
                <w:lang w:val="en-GB" w:eastAsia="en-GB"/>
              </w:rPr>
              <w:tab/>
            </w:r>
            <w:r w:rsidR="00BB3ECF" w:rsidRPr="00FF1CED">
              <w:rPr>
                <w:rStyle w:val="Hyperlink"/>
                <w:b/>
                <w:noProof/>
              </w:rPr>
              <w:t>CONCLUSIONS</w:t>
            </w:r>
            <w:r w:rsidR="00BB3ECF">
              <w:rPr>
                <w:noProof/>
                <w:webHidden/>
              </w:rPr>
              <w:tab/>
            </w:r>
            <w:r w:rsidR="00BB3ECF">
              <w:rPr>
                <w:noProof/>
                <w:webHidden/>
              </w:rPr>
              <w:fldChar w:fldCharType="begin"/>
            </w:r>
            <w:r w:rsidR="00BB3ECF">
              <w:rPr>
                <w:noProof/>
                <w:webHidden/>
              </w:rPr>
              <w:instrText xml:space="preserve"> PAGEREF _Toc42072442 \h </w:instrText>
            </w:r>
            <w:r w:rsidR="00BB3ECF">
              <w:rPr>
                <w:noProof/>
                <w:webHidden/>
              </w:rPr>
            </w:r>
            <w:r w:rsidR="00BB3ECF">
              <w:rPr>
                <w:noProof/>
                <w:webHidden/>
              </w:rPr>
              <w:fldChar w:fldCharType="separate"/>
            </w:r>
            <w:r w:rsidR="0065605C">
              <w:rPr>
                <w:noProof/>
                <w:webHidden/>
              </w:rPr>
              <w:t>10</w:t>
            </w:r>
            <w:r w:rsidR="00BB3ECF">
              <w:rPr>
                <w:noProof/>
                <w:webHidden/>
              </w:rPr>
              <w:fldChar w:fldCharType="end"/>
            </w:r>
          </w:hyperlink>
        </w:p>
        <w:p w14:paraId="06EAF521" w14:textId="5C446769" w:rsidR="00C77A9F" w:rsidRPr="00B1229A" w:rsidRDefault="00C77A9F" w:rsidP="00C77A9F">
          <w:pPr>
            <w:rPr>
              <w:b/>
            </w:rPr>
          </w:pPr>
          <w:r w:rsidRPr="00B1229A">
            <w:rPr>
              <w:b/>
              <w:bCs/>
              <w:noProof/>
            </w:rPr>
            <w:fldChar w:fldCharType="end"/>
          </w:r>
        </w:p>
      </w:sdtContent>
    </w:sdt>
    <w:p w14:paraId="7ECAA633" w14:textId="77777777" w:rsidR="00C77A9F" w:rsidRPr="00B1229A" w:rsidRDefault="00C77A9F" w:rsidP="00C77A9F">
      <w:pPr>
        <w:tabs>
          <w:tab w:val="left" w:pos="360"/>
          <w:tab w:val="left" w:pos="720"/>
        </w:tabs>
        <w:spacing w:before="140" w:line="480" w:lineRule="auto"/>
        <w:textAlignment w:val="baseline"/>
        <w:rPr>
          <w:rFonts w:eastAsia="Times New Roman"/>
          <w:b/>
          <w:color w:val="000000"/>
          <w:spacing w:val="-2"/>
          <w:sz w:val="24"/>
        </w:rPr>
      </w:pPr>
    </w:p>
    <w:p w14:paraId="3F56E55B" w14:textId="478767B1" w:rsidR="00C77A9F" w:rsidRDefault="00C77A9F" w:rsidP="00C77A9F">
      <w:pPr>
        <w:tabs>
          <w:tab w:val="left" w:pos="360"/>
          <w:tab w:val="left" w:pos="720"/>
        </w:tabs>
        <w:spacing w:before="140" w:line="480" w:lineRule="auto"/>
        <w:textAlignment w:val="baseline"/>
        <w:rPr>
          <w:rFonts w:eastAsia="Times New Roman"/>
          <w:b/>
          <w:color w:val="000000"/>
          <w:spacing w:val="-2"/>
          <w:sz w:val="24"/>
        </w:rPr>
      </w:pPr>
      <w:r w:rsidRPr="00B1229A">
        <w:rPr>
          <w:rFonts w:eastAsia="Times New Roman"/>
          <w:b/>
          <w:color w:val="000000"/>
          <w:spacing w:val="-2"/>
          <w:sz w:val="24"/>
        </w:rPr>
        <w:t>LIST OF APPENDICES</w:t>
      </w:r>
    </w:p>
    <w:p w14:paraId="30A1D2DC" w14:textId="2DE4E96F" w:rsidR="00CF5713" w:rsidRDefault="00CF5713" w:rsidP="00C77A9F">
      <w:pPr>
        <w:tabs>
          <w:tab w:val="left" w:pos="360"/>
          <w:tab w:val="left" w:pos="720"/>
        </w:tabs>
        <w:spacing w:before="140" w:line="480" w:lineRule="auto"/>
        <w:textAlignment w:val="baseline"/>
        <w:rPr>
          <w:rFonts w:eastAsia="Times New Roman"/>
          <w:b/>
          <w:color w:val="000000"/>
          <w:spacing w:val="-2"/>
          <w:sz w:val="24"/>
        </w:rPr>
      </w:pPr>
      <w:r>
        <w:rPr>
          <w:rFonts w:eastAsia="Times New Roman"/>
          <w:b/>
          <w:color w:val="000000"/>
          <w:spacing w:val="-2"/>
          <w:sz w:val="24"/>
        </w:rPr>
        <w:t>A:</w:t>
      </w:r>
      <w:r>
        <w:rPr>
          <w:rFonts w:eastAsia="Times New Roman"/>
          <w:b/>
          <w:color w:val="000000"/>
          <w:spacing w:val="-2"/>
          <w:sz w:val="24"/>
        </w:rPr>
        <w:tab/>
      </w:r>
      <w:r>
        <w:rPr>
          <w:rFonts w:eastAsia="Times New Roman"/>
          <w:b/>
          <w:color w:val="000000"/>
          <w:spacing w:val="-2"/>
          <w:sz w:val="24"/>
        </w:rPr>
        <w:tab/>
        <w:t>Victoria Tower Gardens – Geophysical Survey Report (</w:t>
      </w:r>
      <w:r w:rsidR="008112EF">
        <w:rPr>
          <w:rFonts w:eastAsia="Times New Roman"/>
          <w:b/>
          <w:color w:val="000000"/>
          <w:spacing w:val="-2"/>
          <w:sz w:val="24"/>
        </w:rPr>
        <w:t>SUMO, September</w:t>
      </w:r>
      <w:r w:rsidR="008E657B">
        <w:rPr>
          <w:rFonts w:eastAsia="Times New Roman"/>
          <w:b/>
          <w:color w:val="000000"/>
          <w:spacing w:val="-2"/>
          <w:sz w:val="24"/>
        </w:rPr>
        <w:t xml:space="preserve"> 2017)</w:t>
      </w:r>
    </w:p>
    <w:p w14:paraId="6B0D961B" w14:textId="1FB16211" w:rsidR="00CF5713" w:rsidRDefault="00CF5713" w:rsidP="008E657B">
      <w:pPr>
        <w:tabs>
          <w:tab w:val="left" w:pos="360"/>
          <w:tab w:val="left" w:pos="720"/>
        </w:tabs>
        <w:spacing w:before="140" w:line="480" w:lineRule="auto"/>
        <w:ind w:left="720" w:hanging="720"/>
        <w:textAlignment w:val="baseline"/>
        <w:rPr>
          <w:rFonts w:eastAsia="Times New Roman"/>
          <w:b/>
          <w:color w:val="000000"/>
          <w:spacing w:val="-2"/>
          <w:sz w:val="24"/>
        </w:rPr>
      </w:pPr>
      <w:r>
        <w:rPr>
          <w:rFonts w:eastAsia="Times New Roman"/>
          <w:b/>
          <w:color w:val="000000"/>
          <w:spacing w:val="-2"/>
          <w:sz w:val="24"/>
        </w:rPr>
        <w:t>B:</w:t>
      </w:r>
      <w:r>
        <w:rPr>
          <w:rFonts w:eastAsia="Times New Roman"/>
          <w:b/>
          <w:color w:val="000000"/>
          <w:spacing w:val="-2"/>
          <w:sz w:val="24"/>
        </w:rPr>
        <w:tab/>
      </w:r>
      <w:r>
        <w:rPr>
          <w:rFonts w:eastAsia="Times New Roman"/>
          <w:b/>
          <w:color w:val="000000"/>
          <w:spacing w:val="-2"/>
          <w:sz w:val="24"/>
        </w:rPr>
        <w:tab/>
        <w:t>UK Holocaust Memorial – Detailed Desk Based Assessment (</w:t>
      </w:r>
      <w:r w:rsidR="008E657B">
        <w:rPr>
          <w:rFonts w:eastAsia="Times New Roman"/>
          <w:b/>
          <w:color w:val="000000"/>
          <w:spacing w:val="-2"/>
          <w:sz w:val="24"/>
        </w:rPr>
        <w:t xml:space="preserve">Atkins, </w:t>
      </w:r>
      <w:r>
        <w:rPr>
          <w:rFonts w:eastAsia="Times New Roman"/>
          <w:b/>
          <w:color w:val="000000"/>
          <w:spacing w:val="-2"/>
          <w:sz w:val="24"/>
        </w:rPr>
        <w:t>October 2019)</w:t>
      </w:r>
    </w:p>
    <w:p w14:paraId="32FB2E77" w14:textId="3D105A45" w:rsidR="008E657B" w:rsidRDefault="008E657B" w:rsidP="008E657B">
      <w:pPr>
        <w:tabs>
          <w:tab w:val="left" w:pos="360"/>
          <w:tab w:val="left" w:pos="720"/>
        </w:tabs>
        <w:spacing w:before="140" w:line="480" w:lineRule="auto"/>
        <w:ind w:left="720" w:hanging="720"/>
        <w:textAlignment w:val="baseline"/>
        <w:rPr>
          <w:rFonts w:eastAsia="Times New Roman"/>
          <w:b/>
          <w:color w:val="000000"/>
          <w:spacing w:val="-2"/>
          <w:sz w:val="24"/>
        </w:rPr>
      </w:pPr>
      <w:r>
        <w:rPr>
          <w:rFonts w:eastAsia="Times New Roman"/>
          <w:b/>
          <w:color w:val="000000"/>
          <w:spacing w:val="-2"/>
          <w:sz w:val="24"/>
        </w:rPr>
        <w:t>C:</w:t>
      </w:r>
      <w:r>
        <w:rPr>
          <w:rFonts w:eastAsia="Times New Roman"/>
          <w:b/>
          <w:color w:val="000000"/>
          <w:spacing w:val="-2"/>
          <w:sz w:val="24"/>
        </w:rPr>
        <w:tab/>
      </w:r>
      <w:r>
        <w:rPr>
          <w:rFonts w:eastAsia="Times New Roman"/>
          <w:b/>
          <w:color w:val="000000"/>
          <w:spacing w:val="-2"/>
          <w:sz w:val="24"/>
        </w:rPr>
        <w:tab/>
        <w:t xml:space="preserve">UK Holocaust Memorial, Victoria Tower Gardens SW1, City of Westminster – Report on an Archaeological Watching Brief (MoLA, </w:t>
      </w:r>
      <w:r w:rsidR="00F20AA2">
        <w:rPr>
          <w:rFonts w:eastAsia="Times New Roman"/>
          <w:b/>
          <w:color w:val="000000"/>
          <w:spacing w:val="-2"/>
          <w:sz w:val="24"/>
        </w:rPr>
        <w:t>June</w:t>
      </w:r>
      <w:r>
        <w:rPr>
          <w:rFonts w:eastAsia="Times New Roman"/>
          <w:b/>
          <w:color w:val="000000"/>
          <w:spacing w:val="-2"/>
          <w:sz w:val="24"/>
        </w:rPr>
        <w:t xml:space="preserve"> 2019)</w:t>
      </w:r>
    </w:p>
    <w:p w14:paraId="7DCBDF22" w14:textId="452F65FB" w:rsidR="008E657B" w:rsidRDefault="008E657B" w:rsidP="008E657B">
      <w:pPr>
        <w:tabs>
          <w:tab w:val="left" w:pos="360"/>
          <w:tab w:val="left" w:pos="720"/>
        </w:tabs>
        <w:spacing w:before="140" w:line="480" w:lineRule="auto"/>
        <w:ind w:left="720" w:hanging="720"/>
        <w:textAlignment w:val="baseline"/>
        <w:rPr>
          <w:rFonts w:eastAsia="Times New Roman"/>
          <w:b/>
          <w:color w:val="000000"/>
          <w:spacing w:val="-2"/>
          <w:sz w:val="24"/>
        </w:rPr>
      </w:pPr>
      <w:r>
        <w:rPr>
          <w:rFonts w:eastAsia="Times New Roman"/>
          <w:b/>
          <w:color w:val="000000"/>
          <w:spacing w:val="-2"/>
          <w:sz w:val="24"/>
        </w:rPr>
        <w:t>D:</w:t>
      </w:r>
      <w:r>
        <w:rPr>
          <w:rFonts w:eastAsia="Times New Roman"/>
          <w:b/>
          <w:color w:val="000000"/>
          <w:spacing w:val="-2"/>
          <w:sz w:val="24"/>
        </w:rPr>
        <w:tab/>
      </w:r>
      <w:r>
        <w:rPr>
          <w:rFonts w:eastAsia="Times New Roman"/>
          <w:b/>
          <w:color w:val="000000"/>
          <w:spacing w:val="-2"/>
          <w:sz w:val="24"/>
        </w:rPr>
        <w:tab/>
        <w:t>UK Holocaust Memorial, Victoria Tower Gardens SW1, City of Westminster – Geoarchaeological Evaluation Report (MoLA, November 2019)</w:t>
      </w:r>
    </w:p>
    <w:p w14:paraId="46682267" w14:textId="32A0F42C" w:rsidR="008E657B" w:rsidRDefault="008E657B" w:rsidP="008E657B">
      <w:pPr>
        <w:tabs>
          <w:tab w:val="left" w:pos="360"/>
          <w:tab w:val="left" w:pos="720"/>
        </w:tabs>
        <w:spacing w:before="140" w:line="480" w:lineRule="auto"/>
        <w:ind w:left="720" w:hanging="720"/>
        <w:textAlignment w:val="baseline"/>
        <w:rPr>
          <w:rFonts w:eastAsia="Times New Roman"/>
          <w:b/>
          <w:color w:val="000000"/>
          <w:spacing w:val="-2"/>
          <w:sz w:val="24"/>
        </w:rPr>
      </w:pPr>
      <w:r>
        <w:rPr>
          <w:rFonts w:eastAsia="Times New Roman"/>
          <w:b/>
          <w:color w:val="000000"/>
          <w:spacing w:val="-2"/>
          <w:sz w:val="24"/>
        </w:rPr>
        <w:t>E:</w:t>
      </w:r>
      <w:r>
        <w:rPr>
          <w:rFonts w:eastAsia="Times New Roman"/>
          <w:b/>
          <w:color w:val="000000"/>
          <w:spacing w:val="-2"/>
          <w:sz w:val="24"/>
        </w:rPr>
        <w:tab/>
      </w:r>
      <w:r>
        <w:rPr>
          <w:rFonts w:eastAsia="Times New Roman"/>
          <w:b/>
          <w:color w:val="000000"/>
          <w:spacing w:val="-2"/>
          <w:sz w:val="24"/>
        </w:rPr>
        <w:tab/>
      </w:r>
      <w:r w:rsidR="009011D8">
        <w:rPr>
          <w:rFonts w:eastAsia="Times New Roman"/>
          <w:b/>
          <w:color w:val="000000"/>
          <w:spacing w:val="-2"/>
          <w:sz w:val="24"/>
        </w:rPr>
        <w:t xml:space="preserve">United Kingdom Holocaust Memorial – Archaeological Mitigation Strategy (Atkins, </w:t>
      </w:r>
      <w:r w:rsidR="00F20AA2">
        <w:rPr>
          <w:rFonts w:eastAsia="Times New Roman"/>
          <w:b/>
          <w:color w:val="000000"/>
          <w:spacing w:val="-2"/>
          <w:sz w:val="24"/>
        </w:rPr>
        <w:t>April</w:t>
      </w:r>
      <w:r w:rsidR="009011D8">
        <w:rPr>
          <w:rFonts w:eastAsia="Times New Roman"/>
          <w:b/>
          <w:color w:val="000000"/>
          <w:spacing w:val="-2"/>
          <w:sz w:val="24"/>
        </w:rPr>
        <w:t xml:space="preserve"> 2020)</w:t>
      </w:r>
    </w:p>
    <w:p w14:paraId="374C575C" w14:textId="1D41D1A0" w:rsidR="00BB3ECF" w:rsidRDefault="00BB3ECF" w:rsidP="00C77A9F">
      <w:pPr>
        <w:tabs>
          <w:tab w:val="left" w:pos="360"/>
          <w:tab w:val="left" w:pos="720"/>
        </w:tabs>
        <w:spacing w:before="140" w:line="480" w:lineRule="auto"/>
        <w:textAlignment w:val="baseline"/>
        <w:rPr>
          <w:rFonts w:eastAsia="Times New Roman"/>
          <w:b/>
          <w:color w:val="000000"/>
          <w:spacing w:val="-2"/>
          <w:sz w:val="24"/>
        </w:rPr>
      </w:pPr>
    </w:p>
    <w:p w14:paraId="0113A253" w14:textId="77777777" w:rsidR="00BB3ECF" w:rsidRPr="00B1229A" w:rsidRDefault="00BB3ECF" w:rsidP="00C77A9F">
      <w:pPr>
        <w:tabs>
          <w:tab w:val="left" w:pos="360"/>
          <w:tab w:val="left" w:pos="720"/>
        </w:tabs>
        <w:spacing w:before="140" w:line="480" w:lineRule="auto"/>
        <w:textAlignment w:val="baseline"/>
        <w:rPr>
          <w:rFonts w:eastAsia="Times New Roman"/>
          <w:b/>
          <w:color w:val="000000"/>
          <w:spacing w:val="-2"/>
          <w:sz w:val="24"/>
        </w:rPr>
      </w:pPr>
    </w:p>
    <w:p w14:paraId="03A9A8CE" w14:textId="77777777" w:rsidR="00C77A9F" w:rsidRPr="00B1229A" w:rsidRDefault="00C77A9F" w:rsidP="00C77A9F">
      <w:pPr>
        <w:tabs>
          <w:tab w:val="left" w:pos="360"/>
          <w:tab w:val="left" w:pos="720"/>
        </w:tabs>
        <w:spacing w:before="140" w:line="480" w:lineRule="auto"/>
        <w:textAlignment w:val="baseline"/>
        <w:rPr>
          <w:rFonts w:eastAsia="Times New Roman"/>
          <w:b/>
          <w:color w:val="000000"/>
          <w:spacing w:val="-2"/>
          <w:sz w:val="24"/>
        </w:rPr>
      </w:pPr>
    </w:p>
    <w:p w14:paraId="1EBDAB06" w14:textId="77777777" w:rsidR="00C77A9F" w:rsidRPr="00B1229A" w:rsidRDefault="00C77A9F" w:rsidP="00C77A9F">
      <w:pPr>
        <w:tabs>
          <w:tab w:val="left" w:pos="360"/>
          <w:tab w:val="left" w:pos="720"/>
        </w:tabs>
        <w:spacing w:before="140" w:line="480" w:lineRule="auto"/>
        <w:textAlignment w:val="baseline"/>
        <w:rPr>
          <w:rFonts w:eastAsia="Times New Roman"/>
          <w:b/>
          <w:color w:val="000000"/>
          <w:spacing w:val="-2"/>
          <w:sz w:val="24"/>
        </w:rPr>
      </w:pPr>
    </w:p>
    <w:p w14:paraId="6D56C3E4" w14:textId="77777777" w:rsidR="00C77A9F" w:rsidRPr="00B1229A" w:rsidRDefault="00C77A9F" w:rsidP="00C77A9F">
      <w:pPr>
        <w:tabs>
          <w:tab w:val="left" w:pos="360"/>
          <w:tab w:val="left" w:pos="720"/>
        </w:tabs>
        <w:spacing w:before="140" w:line="480" w:lineRule="auto"/>
        <w:textAlignment w:val="baseline"/>
        <w:rPr>
          <w:rFonts w:eastAsia="Times New Roman"/>
          <w:b/>
          <w:color w:val="000000"/>
          <w:spacing w:val="-2"/>
          <w:sz w:val="24"/>
        </w:rPr>
      </w:pPr>
    </w:p>
    <w:p w14:paraId="339A1F28" w14:textId="77777777" w:rsidR="00C77A9F" w:rsidRPr="00043C64" w:rsidRDefault="00C77A9F" w:rsidP="00C77A9F">
      <w:pPr>
        <w:pStyle w:val="Heading2"/>
        <w:rPr>
          <w:rFonts w:ascii="Times New Roman" w:eastAsia="Times New Roman" w:hAnsi="Times New Roman" w:cs="Times New Roman"/>
          <w:sz w:val="24"/>
          <w:szCs w:val="24"/>
        </w:rPr>
      </w:pPr>
      <w:bookmarkStart w:id="2" w:name="_Toc42072438"/>
      <w:r w:rsidRPr="00B1229A">
        <w:rPr>
          <w:rFonts w:ascii="Times New Roman" w:eastAsia="Times New Roman" w:hAnsi="Times New Roman" w:cs="Times New Roman"/>
          <w:b/>
          <w:color w:val="000000" w:themeColor="text1"/>
          <w:sz w:val="24"/>
          <w:szCs w:val="24"/>
        </w:rPr>
        <w:lastRenderedPageBreak/>
        <w:t>1.0</w:t>
      </w:r>
      <w:r w:rsidRPr="00B1229A">
        <w:rPr>
          <w:rFonts w:ascii="Times New Roman" w:eastAsia="Times New Roman" w:hAnsi="Times New Roman" w:cs="Times New Roman"/>
          <w:color w:val="000000" w:themeColor="text1"/>
          <w:szCs w:val="24"/>
        </w:rPr>
        <w:t xml:space="preserve">        </w:t>
      </w:r>
      <w:r w:rsidRPr="00B1229A">
        <w:rPr>
          <w:rStyle w:val="Heading2Char"/>
          <w:rFonts w:ascii="Times New Roman" w:hAnsi="Times New Roman" w:cs="Times New Roman"/>
          <w:b/>
          <w:color w:val="000000" w:themeColor="text1"/>
          <w:sz w:val="24"/>
          <w:szCs w:val="24"/>
        </w:rPr>
        <w:t>QUALIFICATIONS AND EXPERIENCE</w:t>
      </w:r>
      <w:bookmarkEnd w:id="2"/>
    </w:p>
    <w:p w14:paraId="3AAA1946" w14:textId="77777777" w:rsidR="00C77A9F" w:rsidRPr="00043C64" w:rsidRDefault="00C77A9F" w:rsidP="00C77A9F">
      <w:pPr>
        <w:pStyle w:val="ListParagraph"/>
        <w:ind w:left="443"/>
        <w:textAlignment w:val="baseline"/>
        <w:rPr>
          <w:rFonts w:eastAsia="Times New Roman"/>
          <w:b/>
          <w:color w:val="000000"/>
          <w:spacing w:val="20"/>
          <w:sz w:val="24"/>
          <w:szCs w:val="24"/>
        </w:rPr>
      </w:pPr>
    </w:p>
    <w:p w14:paraId="2A9860CE" w14:textId="77777777" w:rsidR="00C77A9F" w:rsidRPr="00043C64" w:rsidRDefault="00C77A9F" w:rsidP="00C77A9F">
      <w:pPr>
        <w:textAlignment w:val="baseline"/>
        <w:rPr>
          <w:rFonts w:eastAsia="Times New Roman"/>
          <w:b/>
          <w:color w:val="000000"/>
          <w:spacing w:val="20"/>
          <w:sz w:val="24"/>
          <w:szCs w:val="24"/>
        </w:rPr>
      </w:pPr>
    </w:p>
    <w:p w14:paraId="32C69887" w14:textId="5B2A978F" w:rsidR="00C77A9F" w:rsidRPr="00E528F0" w:rsidRDefault="003B3445" w:rsidP="00C77A9F">
      <w:pPr>
        <w:ind w:firstLine="709"/>
        <w:textAlignment w:val="baseline"/>
        <w:rPr>
          <w:rFonts w:eastAsia="Times New Roman"/>
          <w:b/>
          <w:color w:val="000000"/>
          <w:spacing w:val="20"/>
          <w:sz w:val="24"/>
          <w:szCs w:val="24"/>
        </w:rPr>
      </w:pPr>
      <w:r>
        <w:rPr>
          <w:rFonts w:eastAsia="Times New Roman"/>
          <w:b/>
          <w:color w:val="000000"/>
          <w:spacing w:val="20"/>
          <w:sz w:val="24"/>
          <w:szCs w:val="24"/>
        </w:rPr>
        <w:t>Alan Ford</w:t>
      </w:r>
      <w:r w:rsidR="00C77A9F" w:rsidRPr="00E528F0">
        <w:rPr>
          <w:rFonts w:eastAsia="Times New Roman"/>
          <w:b/>
          <w:color w:val="000000"/>
          <w:spacing w:val="20"/>
          <w:sz w:val="24"/>
          <w:szCs w:val="24"/>
        </w:rPr>
        <w:t xml:space="preserve"> will say:-</w:t>
      </w:r>
    </w:p>
    <w:p w14:paraId="07D636C8" w14:textId="77777777" w:rsidR="00C77A9F" w:rsidRPr="00E528F0" w:rsidRDefault="00C77A9F" w:rsidP="00C77A9F">
      <w:pPr>
        <w:ind w:firstLine="443"/>
        <w:textAlignment w:val="baseline"/>
        <w:rPr>
          <w:rFonts w:eastAsia="Times New Roman"/>
          <w:color w:val="000000"/>
          <w:spacing w:val="20"/>
          <w:sz w:val="24"/>
          <w:szCs w:val="24"/>
        </w:rPr>
      </w:pPr>
    </w:p>
    <w:p w14:paraId="502201C7" w14:textId="70B23DAD" w:rsidR="00E842F6" w:rsidRPr="00E528F0" w:rsidRDefault="00E842F6" w:rsidP="00E842F6">
      <w:pPr>
        <w:pStyle w:val="ListParagraph"/>
        <w:widowControl w:val="0"/>
        <w:numPr>
          <w:ilvl w:val="1"/>
          <w:numId w:val="1"/>
        </w:numPr>
        <w:tabs>
          <w:tab w:val="left" w:pos="821"/>
        </w:tabs>
        <w:autoSpaceDE w:val="0"/>
        <w:autoSpaceDN w:val="0"/>
        <w:spacing w:line="276" w:lineRule="auto"/>
        <w:ind w:left="709" w:right="116" w:hanging="709"/>
        <w:contextualSpacing w:val="0"/>
        <w:jc w:val="both"/>
        <w:rPr>
          <w:sz w:val="24"/>
          <w:szCs w:val="24"/>
        </w:rPr>
      </w:pPr>
      <w:r w:rsidRPr="00E528F0">
        <w:rPr>
          <w:sz w:val="24"/>
          <w:szCs w:val="24"/>
        </w:rPr>
        <w:t xml:space="preserve">I hold the degrees of Bachelor of Arts (with Honours) in </w:t>
      </w:r>
      <w:r w:rsidR="003B3445">
        <w:rPr>
          <w:sz w:val="24"/>
          <w:szCs w:val="24"/>
        </w:rPr>
        <w:t>Archaeology</w:t>
      </w:r>
      <w:r>
        <w:rPr>
          <w:sz w:val="24"/>
          <w:szCs w:val="24"/>
        </w:rPr>
        <w:t xml:space="preserve"> </w:t>
      </w:r>
      <w:r w:rsidRPr="00E528F0">
        <w:rPr>
          <w:sz w:val="24"/>
          <w:szCs w:val="24"/>
        </w:rPr>
        <w:t xml:space="preserve">from </w:t>
      </w:r>
      <w:r w:rsidR="003B3445">
        <w:rPr>
          <w:sz w:val="24"/>
          <w:szCs w:val="24"/>
        </w:rPr>
        <w:t xml:space="preserve"> the </w:t>
      </w:r>
      <w:r w:rsidRPr="00E528F0">
        <w:rPr>
          <w:sz w:val="24"/>
          <w:szCs w:val="24"/>
        </w:rPr>
        <w:t xml:space="preserve">University of </w:t>
      </w:r>
      <w:r w:rsidR="003B3445">
        <w:rPr>
          <w:sz w:val="24"/>
          <w:szCs w:val="24"/>
        </w:rPr>
        <w:t>Nottingham (1988)</w:t>
      </w:r>
      <w:r w:rsidRPr="00E528F0">
        <w:rPr>
          <w:sz w:val="24"/>
          <w:szCs w:val="24"/>
        </w:rPr>
        <w:t xml:space="preserve">. I </w:t>
      </w:r>
      <w:r w:rsidR="008977D4">
        <w:rPr>
          <w:sz w:val="24"/>
          <w:szCs w:val="24"/>
        </w:rPr>
        <w:t>been</w:t>
      </w:r>
      <w:r w:rsidRPr="00E528F0">
        <w:rPr>
          <w:sz w:val="24"/>
          <w:szCs w:val="24"/>
        </w:rPr>
        <w:t xml:space="preserve"> a </w:t>
      </w:r>
      <w:r w:rsidR="003B3445">
        <w:rPr>
          <w:sz w:val="24"/>
          <w:szCs w:val="24"/>
        </w:rPr>
        <w:t>member of the Chartered Institute for Archaeology</w:t>
      </w:r>
      <w:r w:rsidR="008977D4">
        <w:rPr>
          <w:sz w:val="24"/>
          <w:szCs w:val="24"/>
        </w:rPr>
        <w:t xml:space="preserve"> since 2011</w:t>
      </w:r>
      <w:r w:rsidRPr="00E528F0">
        <w:rPr>
          <w:sz w:val="24"/>
          <w:szCs w:val="24"/>
        </w:rPr>
        <w:t xml:space="preserve">.  </w:t>
      </w:r>
    </w:p>
    <w:p w14:paraId="6753BE92" w14:textId="77777777" w:rsidR="00C77A9F" w:rsidRPr="00E528F0" w:rsidRDefault="00C77A9F" w:rsidP="00680BF4">
      <w:pPr>
        <w:pStyle w:val="ListParagraph"/>
        <w:tabs>
          <w:tab w:val="left" w:pos="821"/>
        </w:tabs>
        <w:spacing w:line="276" w:lineRule="auto"/>
        <w:ind w:left="732" w:right="116"/>
        <w:rPr>
          <w:sz w:val="24"/>
          <w:szCs w:val="24"/>
        </w:rPr>
      </w:pPr>
    </w:p>
    <w:p w14:paraId="7FBA3975" w14:textId="77777777" w:rsidR="008977D4" w:rsidRDefault="00E842F6" w:rsidP="00E842F6">
      <w:pPr>
        <w:pStyle w:val="ListParagraph"/>
        <w:widowControl w:val="0"/>
        <w:numPr>
          <w:ilvl w:val="1"/>
          <w:numId w:val="1"/>
        </w:numPr>
        <w:tabs>
          <w:tab w:val="left" w:pos="821"/>
        </w:tabs>
        <w:autoSpaceDE w:val="0"/>
        <w:autoSpaceDN w:val="0"/>
        <w:spacing w:line="276" w:lineRule="auto"/>
        <w:ind w:left="732" w:right="116" w:hanging="732"/>
        <w:contextualSpacing w:val="0"/>
        <w:jc w:val="both"/>
        <w:rPr>
          <w:sz w:val="24"/>
          <w:szCs w:val="24"/>
        </w:rPr>
      </w:pPr>
      <w:r w:rsidRPr="00E528F0">
        <w:rPr>
          <w:sz w:val="24"/>
          <w:szCs w:val="24"/>
        </w:rPr>
        <w:t xml:space="preserve">I have </w:t>
      </w:r>
      <w:r w:rsidR="008977D4">
        <w:rPr>
          <w:sz w:val="24"/>
          <w:szCs w:val="24"/>
        </w:rPr>
        <w:t>32 years</w:t>
      </w:r>
      <w:r w:rsidRPr="00E528F0">
        <w:rPr>
          <w:sz w:val="24"/>
          <w:szCs w:val="24"/>
        </w:rPr>
        <w:t xml:space="preserve"> </w:t>
      </w:r>
      <w:r w:rsidR="008977D4">
        <w:rPr>
          <w:sz w:val="24"/>
          <w:szCs w:val="24"/>
        </w:rPr>
        <w:t xml:space="preserve">of </w:t>
      </w:r>
      <w:r w:rsidRPr="00E528F0">
        <w:rPr>
          <w:sz w:val="24"/>
          <w:szCs w:val="24"/>
        </w:rPr>
        <w:t xml:space="preserve">experience in the field of </w:t>
      </w:r>
      <w:r w:rsidR="008977D4">
        <w:rPr>
          <w:sz w:val="24"/>
          <w:szCs w:val="24"/>
        </w:rPr>
        <w:t>archaeology and heritage consultancy with over twenty of those years as a field archaeologist; my experience includes designing and delivering archaeological outputs for complex large scale infrastructure and other projects including on urban sites in London</w:t>
      </w:r>
      <w:r w:rsidRPr="00E528F0">
        <w:rPr>
          <w:sz w:val="24"/>
          <w:szCs w:val="24"/>
        </w:rPr>
        <w:t xml:space="preserve">. </w:t>
      </w:r>
    </w:p>
    <w:p w14:paraId="263B33F8" w14:textId="77777777" w:rsidR="008977D4" w:rsidRPr="008977D4" w:rsidRDefault="008977D4" w:rsidP="008977D4">
      <w:pPr>
        <w:pStyle w:val="ListParagraph"/>
        <w:rPr>
          <w:sz w:val="24"/>
          <w:szCs w:val="24"/>
        </w:rPr>
      </w:pPr>
    </w:p>
    <w:p w14:paraId="08799039" w14:textId="4EA191A1" w:rsidR="00E842F6" w:rsidRPr="00E528F0" w:rsidRDefault="00E842F6" w:rsidP="00E842F6">
      <w:pPr>
        <w:pStyle w:val="ListParagraph"/>
        <w:widowControl w:val="0"/>
        <w:numPr>
          <w:ilvl w:val="1"/>
          <w:numId w:val="1"/>
        </w:numPr>
        <w:tabs>
          <w:tab w:val="left" w:pos="821"/>
        </w:tabs>
        <w:autoSpaceDE w:val="0"/>
        <w:autoSpaceDN w:val="0"/>
        <w:spacing w:line="276" w:lineRule="auto"/>
        <w:ind w:left="732" w:right="116" w:hanging="732"/>
        <w:contextualSpacing w:val="0"/>
        <w:jc w:val="both"/>
        <w:rPr>
          <w:sz w:val="24"/>
          <w:szCs w:val="24"/>
        </w:rPr>
      </w:pPr>
      <w:r w:rsidRPr="00E528F0">
        <w:rPr>
          <w:sz w:val="24"/>
          <w:szCs w:val="24"/>
        </w:rPr>
        <w:t xml:space="preserve">I am </w:t>
      </w:r>
      <w:r w:rsidR="008977D4">
        <w:rPr>
          <w:sz w:val="24"/>
          <w:szCs w:val="24"/>
        </w:rPr>
        <w:t>a senior heritage consultant and lead archaeologist for Atkins</w:t>
      </w:r>
      <w:r w:rsidRPr="00E528F0">
        <w:rPr>
          <w:sz w:val="24"/>
          <w:szCs w:val="24"/>
        </w:rPr>
        <w:t>, a leading</w:t>
      </w:r>
      <w:r w:rsidR="005123D0">
        <w:rPr>
          <w:sz w:val="24"/>
          <w:szCs w:val="24"/>
        </w:rPr>
        <w:t xml:space="preserve"> global</w:t>
      </w:r>
      <w:r w:rsidRPr="00E528F0">
        <w:rPr>
          <w:sz w:val="24"/>
          <w:szCs w:val="24"/>
        </w:rPr>
        <w:t xml:space="preserve"> </w:t>
      </w:r>
      <w:r>
        <w:rPr>
          <w:sz w:val="24"/>
          <w:szCs w:val="24"/>
        </w:rPr>
        <w:t>engineering</w:t>
      </w:r>
      <w:r w:rsidR="008977D4">
        <w:rPr>
          <w:sz w:val="24"/>
          <w:szCs w:val="24"/>
        </w:rPr>
        <w:t xml:space="preserve"> and design</w:t>
      </w:r>
      <w:r>
        <w:rPr>
          <w:sz w:val="24"/>
          <w:szCs w:val="24"/>
        </w:rPr>
        <w:t xml:space="preserve"> consultancy</w:t>
      </w:r>
      <w:r w:rsidRPr="00E528F0">
        <w:rPr>
          <w:sz w:val="24"/>
          <w:szCs w:val="24"/>
        </w:rPr>
        <w:t xml:space="preserve">. </w:t>
      </w:r>
      <w:r w:rsidR="008977D4">
        <w:rPr>
          <w:sz w:val="24"/>
          <w:szCs w:val="24"/>
        </w:rPr>
        <w:t>I have been responsible for the delivery of the archaeological assessment and evaluation programme for the Application Site since July 2018.</w:t>
      </w:r>
    </w:p>
    <w:p w14:paraId="591FD35A" w14:textId="77777777" w:rsidR="00C77A9F" w:rsidRPr="00E528F0" w:rsidRDefault="00C77A9F" w:rsidP="00680BF4">
      <w:pPr>
        <w:pStyle w:val="ListParagraph"/>
        <w:spacing w:line="276" w:lineRule="auto"/>
        <w:rPr>
          <w:sz w:val="24"/>
          <w:szCs w:val="24"/>
        </w:rPr>
      </w:pPr>
    </w:p>
    <w:p w14:paraId="3784BFEE" w14:textId="77777777" w:rsidR="00E842F6" w:rsidRDefault="00C77A9F" w:rsidP="00E528F0">
      <w:pPr>
        <w:pStyle w:val="ListParagraph"/>
        <w:widowControl w:val="0"/>
        <w:numPr>
          <w:ilvl w:val="1"/>
          <w:numId w:val="1"/>
        </w:numPr>
        <w:tabs>
          <w:tab w:val="left" w:pos="821"/>
        </w:tabs>
        <w:autoSpaceDE w:val="0"/>
        <w:autoSpaceDN w:val="0"/>
        <w:spacing w:line="276" w:lineRule="auto"/>
        <w:ind w:left="732" w:right="116" w:hanging="732"/>
        <w:contextualSpacing w:val="0"/>
        <w:jc w:val="both"/>
        <w:rPr>
          <w:sz w:val="24"/>
          <w:szCs w:val="24"/>
        </w:rPr>
      </w:pPr>
      <w:r w:rsidRPr="00E528F0">
        <w:rPr>
          <w:sz w:val="24"/>
          <w:szCs w:val="24"/>
        </w:rPr>
        <w:t>I am familiar with the Application Site and the surrounding area</w:t>
      </w:r>
      <w:r w:rsidR="005A51B8">
        <w:rPr>
          <w:sz w:val="24"/>
          <w:szCs w:val="24"/>
        </w:rPr>
        <w:t xml:space="preserve"> </w:t>
      </w:r>
      <w:r w:rsidR="00E842F6">
        <w:rPr>
          <w:sz w:val="24"/>
          <w:szCs w:val="24"/>
        </w:rPr>
        <w:t>having worked on this and a number of other projects in the locale.</w:t>
      </w:r>
    </w:p>
    <w:p w14:paraId="0526177F" w14:textId="77777777" w:rsidR="00E842F6" w:rsidRPr="00E842F6" w:rsidRDefault="00E842F6" w:rsidP="00E842F6">
      <w:pPr>
        <w:pStyle w:val="ListParagraph"/>
        <w:rPr>
          <w:sz w:val="24"/>
          <w:szCs w:val="24"/>
          <w:highlight w:val="green"/>
        </w:rPr>
      </w:pPr>
    </w:p>
    <w:p w14:paraId="222C216C" w14:textId="1F4FA0E0" w:rsidR="00C77A9F" w:rsidRPr="00E528F0" w:rsidRDefault="00C77A9F" w:rsidP="00E528F0">
      <w:pPr>
        <w:pStyle w:val="ListParagraph"/>
        <w:widowControl w:val="0"/>
        <w:numPr>
          <w:ilvl w:val="1"/>
          <w:numId w:val="1"/>
        </w:numPr>
        <w:tabs>
          <w:tab w:val="left" w:pos="821"/>
        </w:tabs>
        <w:autoSpaceDE w:val="0"/>
        <w:autoSpaceDN w:val="0"/>
        <w:spacing w:line="276" w:lineRule="auto"/>
        <w:ind w:left="732" w:right="116" w:hanging="732"/>
        <w:contextualSpacing w:val="0"/>
        <w:jc w:val="both"/>
        <w:rPr>
          <w:sz w:val="24"/>
          <w:szCs w:val="24"/>
        </w:rPr>
      </w:pPr>
      <w:r w:rsidRPr="00E528F0">
        <w:rPr>
          <w:sz w:val="24"/>
          <w:szCs w:val="24"/>
        </w:rPr>
        <w:t xml:space="preserve">I have read all the relevant background information and have been assisted by the same colleagues who worked on the Application and made such enquiries as I consider to be necessary to fulfil my duties as an expert witness. </w:t>
      </w:r>
    </w:p>
    <w:p w14:paraId="120AF944" w14:textId="77777777" w:rsidR="00C77A9F" w:rsidRPr="00E528F0" w:rsidRDefault="00C77A9F" w:rsidP="00680BF4">
      <w:pPr>
        <w:pStyle w:val="ListParagraph"/>
        <w:spacing w:line="276" w:lineRule="auto"/>
        <w:rPr>
          <w:sz w:val="24"/>
          <w:szCs w:val="24"/>
        </w:rPr>
      </w:pPr>
    </w:p>
    <w:p w14:paraId="4A094EB0" w14:textId="0141605B" w:rsidR="00C77A9F" w:rsidRDefault="00C77A9F" w:rsidP="00E528F0">
      <w:pPr>
        <w:pStyle w:val="ListParagraph"/>
        <w:widowControl w:val="0"/>
        <w:numPr>
          <w:ilvl w:val="1"/>
          <w:numId w:val="1"/>
        </w:numPr>
        <w:tabs>
          <w:tab w:val="left" w:pos="821"/>
        </w:tabs>
        <w:autoSpaceDE w:val="0"/>
        <w:autoSpaceDN w:val="0"/>
        <w:spacing w:line="276" w:lineRule="auto"/>
        <w:ind w:left="732" w:right="116" w:hanging="732"/>
        <w:contextualSpacing w:val="0"/>
        <w:jc w:val="both"/>
        <w:rPr>
          <w:sz w:val="24"/>
          <w:szCs w:val="24"/>
        </w:rPr>
      </w:pPr>
      <w:r w:rsidRPr="00E528F0">
        <w:rPr>
          <w:sz w:val="24"/>
          <w:szCs w:val="24"/>
        </w:rPr>
        <w:t>I confirm that my evidence to this Inquiry has been prepared and is given in accordance with the guidance of my Professional Institutions and I confirm that the opinions expressed are my true and professional opinions.</w:t>
      </w:r>
    </w:p>
    <w:p w14:paraId="3AAE2E55" w14:textId="77777777" w:rsidR="008977D4" w:rsidRPr="008977D4" w:rsidRDefault="008977D4" w:rsidP="008977D4">
      <w:pPr>
        <w:pStyle w:val="ListParagraph"/>
        <w:rPr>
          <w:sz w:val="24"/>
          <w:szCs w:val="24"/>
        </w:rPr>
      </w:pPr>
    </w:p>
    <w:p w14:paraId="441A2946" w14:textId="2F140F87" w:rsidR="008977D4" w:rsidRDefault="008977D4" w:rsidP="008977D4">
      <w:pPr>
        <w:widowControl w:val="0"/>
        <w:tabs>
          <w:tab w:val="left" w:pos="821"/>
        </w:tabs>
        <w:autoSpaceDE w:val="0"/>
        <w:autoSpaceDN w:val="0"/>
        <w:spacing w:line="276" w:lineRule="auto"/>
        <w:ind w:right="116"/>
        <w:jc w:val="both"/>
        <w:rPr>
          <w:sz w:val="24"/>
          <w:szCs w:val="24"/>
        </w:rPr>
      </w:pPr>
    </w:p>
    <w:p w14:paraId="2FA47FDE" w14:textId="54CA289C" w:rsidR="008977D4" w:rsidRDefault="008977D4" w:rsidP="008977D4">
      <w:pPr>
        <w:widowControl w:val="0"/>
        <w:tabs>
          <w:tab w:val="left" w:pos="821"/>
        </w:tabs>
        <w:autoSpaceDE w:val="0"/>
        <w:autoSpaceDN w:val="0"/>
        <w:spacing w:line="276" w:lineRule="auto"/>
        <w:ind w:right="116"/>
        <w:jc w:val="both"/>
        <w:rPr>
          <w:sz w:val="24"/>
          <w:szCs w:val="24"/>
        </w:rPr>
      </w:pPr>
    </w:p>
    <w:p w14:paraId="6A84D504" w14:textId="77777777" w:rsidR="008977D4" w:rsidRPr="008977D4" w:rsidRDefault="008977D4" w:rsidP="008977D4">
      <w:pPr>
        <w:widowControl w:val="0"/>
        <w:tabs>
          <w:tab w:val="left" w:pos="821"/>
        </w:tabs>
        <w:autoSpaceDE w:val="0"/>
        <w:autoSpaceDN w:val="0"/>
        <w:spacing w:line="276" w:lineRule="auto"/>
        <w:ind w:right="116"/>
        <w:jc w:val="both"/>
        <w:rPr>
          <w:sz w:val="24"/>
          <w:szCs w:val="24"/>
        </w:rPr>
      </w:pPr>
    </w:p>
    <w:p w14:paraId="621C9D7D" w14:textId="77777777" w:rsidR="00C77A9F" w:rsidRPr="00E528F0" w:rsidRDefault="00C77A9F" w:rsidP="00680BF4">
      <w:pPr>
        <w:pStyle w:val="ListParagraph"/>
        <w:spacing w:line="276" w:lineRule="auto"/>
        <w:rPr>
          <w:sz w:val="24"/>
          <w:szCs w:val="24"/>
        </w:rPr>
      </w:pPr>
    </w:p>
    <w:p w14:paraId="7ED29F4B" w14:textId="5B1C80D9" w:rsidR="00C77A9F" w:rsidRPr="00E528F0" w:rsidRDefault="00C77A9F" w:rsidP="00680BF4">
      <w:pPr>
        <w:pStyle w:val="ListParagraph"/>
        <w:widowControl w:val="0"/>
        <w:tabs>
          <w:tab w:val="left" w:pos="821"/>
        </w:tabs>
        <w:autoSpaceDE w:val="0"/>
        <w:autoSpaceDN w:val="0"/>
        <w:spacing w:line="276" w:lineRule="auto"/>
        <w:ind w:left="732" w:right="116"/>
        <w:contextualSpacing w:val="0"/>
        <w:jc w:val="both"/>
        <w:rPr>
          <w:sz w:val="24"/>
          <w:szCs w:val="24"/>
        </w:rPr>
      </w:pPr>
    </w:p>
    <w:p w14:paraId="6F87DEBE" w14:textId="6E74BCFC" w:rsidR="00B173AF" w:rsidRDefault="00B173AF" w:rsidP="00680BF4">
      <w:pPr>
        <w:pStyle w:val="ListParagraph"/>
        <w:widowControl w:val="0"/>
        <w:tabs>
          <w:tab w:val="left" w:pos="821"/>
        </w:tabs>
        <w:autoSpaceDE w:val="0"/>
        <w:autoSpaceDN w:val="0"/>
        <w:spacing w:line="276" w:lineRule="auto"/>
        <w:ind w:left="732" w:right="116"/>
        <w:contextualSpacing w:val="0"/>
        <w:jc w:val="both"/>
        <w:rPr>
          <w:sz w:val="24"/>
          <w:szCs w:val="24"/>
        </w:rPr>
      </w:pPr>
    </w:p>
    <w:p w14:paraId="0F8301E4" w14:textId="2FEC4280" w:rsidR="00580776" w:rsidRDefault="00580776" w:rsidP="00680BF4">
      <w:pPr>
        <w:pStyle w:val="ListParagraph"/>
        <w:widowControl w:val="0"/>
        <w:tabs>
          <w:tab w:val="left" w:pos="821"/>
        </w:tabs>
        <w:autoSpaceDE w:val="0"/>
        <w:autoSpaceDN w:val="0"/>
        <w:spacing w:line="276" w:lineRule="auto"/>
        <w:ind w:left="732" w:right="116"/>
        <w:contextualSpacing w:val="0"/>
        <w:jc w:val="both"/>
        <w:rPr>
          <w:sz w:val="24"/>
          <w:szCs w:val="24"/>
        </w:rPr>
      </w:pPr>
    </w:p>
    <w:p w14:paraId="15BFE498" w14:textId="7DB1689E" w:rsidR="00580776" w:rsidRDefault="00580776" w:rsidP="00680BF4">
      <w:pPr>
        <w:pStyle w:val="ListParagraph"/>
        <w:widowControl w:val="0"/>
        <w:tabs>
          <w:tab w:val="left" w:pos="821"/>
        </w:tabs>
        <w:autoSpaceDE w:val="0"/>
        <w:autoSpaceDN w:val="0"/>
        <w:spacing w:line="276" w:lineRule="auto"/>
        <w:ind w:left="732" w:right="116"/>
        <w:contextualSpacing w:val="0"/>
        <w:jc w:val="both"/>
        <w:rPr>
          <w:sz w:val="24"/>
          <w:szCs w:val="24"/>
        </w:rPr>
      </w:pPr>
    </w:p>
    <w:p w14:paraId="1A076797" w14:textId="291DDECE" w:rsidR="00580776" w:rsidRDefault="00580776" w:rsidP="00680BF4">
      <w:pPr>
        <w:pStyle w:val="ListParagraph"/>
        <w:widowControl w:val="0"/>
        <w:tabs>
          <w:tab w:val="left" w:pos="821"/>
        </w:tabs>
        <w:autoSpaceDE w:val="0"/>
        <w:autoSpaceDN w:val="0"/>
        <w:spacing w:line="276" w:lineRule="auto"/>
        <w:ind w:left="732" w:right="116"/>
        <w:contextualSpacing w:val="0"/>
        <w:jc w:val="both"/>
        <w:rPr>
          <w:sz w:val="24"/>
          <w:szCs w:val="24"/>
        </w:rPr>
      </w:pPr>
    </w:p>
    <w:p w14:paraId="79F93B3B" w14:textId="696241B0" w:rsidR="00580776" w:rsidRDefault="00580776" w:rsidP="00680BF4">
      <w:pPr>
        <w:pStyle w:val="ListParagraph"/>
        <w:widowControl w:val="0"/>
        <w:tabs>
          <w:tab w:val="left" w:pos="821"/>
        </w:tabs>
        <w:autoSpaceDE w:val="0"/>
        <w:autoSpaceDN w:val="0"/>
        <w:spacing w:line="276" w:lineRule="auto"/>
        <w:ind w:left="732" w:right="116"/>
        <w:contextualSpacing w:val="0"/>
        <w:jc w:val="both"/>
        <w:rPr>
          <w:sz w:val="24"/>
          <w:szCs w:val="24"/>
        </w:rPr>
      </w:pPr>
    </w:p>
    <w:p w14:paraId="797EF57E" w14:textId="169CECF2" w:rsidR="00580776" w:rsidRDefault="00580776" w:rsidP="00680BF4">
      <w:pPr>
        <w:pStyle w:val="ListParagraph"/>
        <w:widowControl w:val="0"/>
        <w:tabs>
          <w:tab w:val="left" w:pos="821"/>
        </w:tabs>
        <w:autoSpaceDE w:val="0"/>
        <w:autoSpaceDN w:val="0"/>
        <w:spacing w:line="276" w:lineRule="auto"/>
        <w:ind w:left="732" w:right="116"/>
        <w:contextualSpacing w:val="0"/>
        <w:jc w:val="both"/>
        <w:rPr>
          <w:sz w:val="24"/>
          <w:szCs w:val="24"/>
        </w:rPr>
      </w:pPr>
    </w:p>
    <w:p w14:paraId="1D3AB14B" w14:textId="6FB0589E" w:rsidR="00580776" w:rsidRDefault="00580776" w:rsidP="00680BF4">
      <w:pPr>
        <w:pStyle w:val="ListParagraph"/>
        <w:widowControl w:val="0"/>
        <w:tabs>
          <w:tab w:val="left" w:pos="821"/>
        </w:tabs>
        <w:autoSpaceDE w:val="0"/>
        <w:autoSpaceDN w:val="0"/>
        <w:spacing w:line="276" w:lineRule="auto"/>
        <w:ind w:left="732" w:right="116"/>
        <w:contextualSpacing w:val="0"/>
        <w:jc w:val="both"/>
        <w:rPr>
          <w:sz w:val="24"/>
          <w:szCs w:val="24"/>
        </w:rPr>
      </w:pPr>
    </w:p>
    <w:p w14:paraId="5B44A573" w14:textId="738C16F3" w:rsidR="00580776" w:rsidRDefault="00580776" w:rsidP="00680BF4">
      <w:pPr>
        <w:pStyle w:val="ListParagraph"/>
        <w:widowControl w:val="0"/>
        <w:tabs>
          <w:tab w:val="left" w:pos="821"/>
        </w:tabs>
        <w:autoSpaceDE w:val="0"/>
        <w:autoSpaceDN w:val="0"/>
        <w:spacing w:line="276" w:lineRule="auto"/>
        <w:ind w:left="732" w:right="116"/>
        <w:contextualSpacing w:val="0"/>
        <w:jc w:val="both"/>
        <w:rPr>
          <w:sz w:val="24"/>
          <w:szCs w:val="24"/>
        </w:rPr>
      </w:pPr>
    </w:p>
    <w:p w14:paraId="605950E0" w14:textId="5D809117" w:rsidR="00580776" w:rsidRDefault="00580776" w:rsidP="00680BF4">
      <w:pPr>
        <w:pStyle w:val="ListParagraph"/>
        <w:widowControl w:val="0"/>
        <w:tabs>
          <w:tab w:val="left" w:pos="821"/>
        </w:tabs>
        <w:autoSpaceDE w:val="0"/>
        <w:autoSpaceDN w:val="0"/>
        <w:spacing w:line="276" w:lineRule="auto"/>
        <w:ind w:left="732" w:right="116"/>
        <w:contextualSpacing w:val="0"/>
        <w:jc w:val="both"/>
        <w:rPr>
          <w:sz w:val="24"/>
          <w:szCs w:val="24"/>
        </w:rPr>
      </w:pPr>
    </w:p>
    <w:p w14:paraId="284B18E4" w14:textId="6406AE21" w:rsidR="00580776" w:rsidRDefault="00580776" w:rsidP="00680BF4">
      <w:pPr>
        <w:pStyle w:val="ListParagraph"/>
        <w:widowControl w:val="0"/>
        <w:tabs>
          <w:tab w:val="left" w:pos="821"/>
        </w:tabs>
        <w:autoSpaceDE w:val="0"/>
        <w:autoSpaceDN w:val="0"/>
        <w:spacing w:line="276" w:lineRule="auto"/>
        <w:ind w:left="732" w:right="116"/>
        <w:contextualSpacing w:val="0"/>
        <w:jc w:val="both"/>
        <w:rPr>
          <w:sz w:val="24"/>
          <w:szCs w:val="24"/>
        </w:rPr>
      </w:pPr>
    </w:p>
    <w:p w14:paraId="7FF91896" w14:textId="12313BFD" w:rsidR="00580776" w:rsidRDefault="00580776" w:rsidP="00680BF4">
      <w:pPr>
        <w:pStyle w:val="ListParagraph"/>
        <w:widowControl w:val="0"/>
        <w:tabs>
          <w:tab w:val="left" w:pos="821"/>
        </w:tabs>
        <w:autoSpaceDE w:val="0"/>
        <w:autoSpaceDN w:val="0"/>
        <w:spacing w:line="276" w:lineRule="auto"/>
        <w:ind w:left="732" w:right="116"/>
        <w:contextualSpacing w:val="0"/>
        <w:jc w:val="both"/>
        <w:rPr>
          <w:sz w:val="24"/>
          <w:szCs w:val="24"/>
        </w:rPr>
      </w:pPr>
    </w:p>
    <w:p w14:paraId="41A1D798" w14:textId="77777777" w:rsidR="00C77A9F" w:rsidRPr="00E528F0" w:rsidRDefault="00C77A9F" w:rsidP="00E528F0">
      <w:pPr>
        <w:pStyle w:val="ListParagraph"/>
        <w:numPr>
          <w:ilvl w:val="0"/>
          <w:numId w:val="1"/>
        </w:numPr>
        <w:ind w:left="709" w:hanging="709"/>
        <w:textAlignment w:val="baseline"/>
        <w:rPr>
          <w:rStyle w:val="Heading2Char"/>
          <w:rFonts w:ascii="Times New Roman" w:hAnsi="Times New Roman" w:cs="Times New Roman"/>
          <w:b/>
          <w:color w:val="000000" w:themeColor="text1"/>
          <w:sz w:val="24"/>
          <w:szCs w:val="24"/>
        </w:rPr>
      </w:pPr>
      <w:bookmarkStart w:id="3" w:name="_Toc42072439"/>
      <w:r w:rsidRPr="00E528F0">
        <w:rPr>
          <w:rStyle w:val="Heading2Char"/>
          <w:rFonts w:ascii="Times New Roman" w:hAnsi="Times New Roman" w:cs="Times New Roman"/>
          <w:b/>
          <w:color w:val="000000" w:themeColor="text1"/>
          <w:sz w:val="24"/>
          <w:szCs w:val="24"/>
        </w:rPr>
        <w:t>INTRODUCTION AND SCOPE OF EVIDENCE</w:t>
      </w:r>
      <w:bookmarkEnd w:id="3"/>
    </w:p>
    <w:p w14:paraId="78D8B5C3" w14:textId="77777777" w:rsidR="00C77A9F" w:rsidRPr="00E528F0" w:rsidRDefault="00C77A9F" w:rsidP="00C77A9F">
      <w:pPr>
        <w:pStyle w:val="ListParagraph"/>
        <w:ind w:left="709"/>
        <w:textAlignment w:val="baseline"/>
        <w:rPr>
          <w:rFonts w:eastAsia="Times New Roman"/>
          <w:color w:val="000000"/>
          <w:sz w:val="24"/>
          <w:szCs w:val="24"/>
        </w:rPr>
      </w:pPr>
    </w:p>
    <w:p w14:paraId="25ED88FD" w14:textId="77777777" w:rsidR="00C77A9F" w:rsidRPr="00E528F0" w:rsidRDefault="00C77A9F" w:rsidP="00C77A9F">
      <w:pPr>
        <w:pStyle w:val="ListParagraph"/>
        <w:ind w:left="1163"/>
        <w:textAlignment w:val="baseline"/>
        <w:rPr>
          <w:rFonts w:eastAsia="Times New Roman"/>
          <w:b/>
          <w:color w:val="000000"/>
          <w:spacing w:val="20"/>
          <w:sz w:val="24"/>
          <w:szCs w:val="24"/>
        </w:rPr>
      </w:pPr>
    </w:p>
    <w:p w14:paraId="48FDC746" w14:textId="77777777" w:rsidR="005123D0" w:rsidRDefault="008A6C99" w:rsidP="005123D0">
      <w:pPr>
        <w:pStyle w:val="Paragraph2"/>
        <w:numPr>
          <w:ilvl w:val="1"/>
          <w:numId w:val="1"/>
        </w:numPr>
        <w:spacing w:line="276" w:lineRule="auto"/>
        <w:ind w:left="709" w:hanging="709"/>
        <w:textAlignment w:val="baseline"/>
        <w:rPr>
          <w:rFonts w:ascii="Times New Roman" w:hAnsi="Times New Roman"/>
          <w:sz w:val="24"/>
          <w:szCs w:val="24"/>
        </w:rPr>
      </w:pPr>
      <w:r w:rsidRPr="00E528F0">
        <w:rPr>
          <w:rFonts w:ascii="Times New Roman" w:hAnsi="Times New Roman"/>
          <w:color w:val="000000"/>
          <w:sz w:val="24"/>
          <w:szCs w:val="24"/>
        </w:rPr>
        <w:t>I am instructed by</w:t>
      </w:r>
      <w:r w:rsidR="00F013B1" w:rsidRPr="00E528F0">
        <w:rPr>
          <w:rFonts w:ascii="Times New Roman" w:hAnsi="Times New Roman"/>
          <w:sz w:val="24"/>
          <w:szCs w:val="24"/>
        </w:rPr>
        <w:t xml:space="preserve"> the Secretary of State for Housing, Communities and Local Government (the "</w:t>
      </w:r>
      <w:r w:rsidR="00F013B1" w:rsidRPr="00E528F0">
        <w:rPr>
          <w:rFonts w:ascii="Times New Roman" w:hAnsi="Times New Roman"/>
          <w:b/>
          <w:sz w:val="24"/>
          <w:szCs w:val="24"/>
        </w:rPr>
        <w:t>Applicant</w:t>
      </w:r>
      <w:r w:rsidR="00F013B1" w:rsidRPr="00E528F0">
        <w:rPr>
          <w:rFonts w:ascii="Times New Roman" w:hAnsi="Times New Roman"/>
          <w:sz w:val="24"/>
          <w:szCs w:val="24"/>
        </w:rPr>
        <w:t xml:space="preserve">") </w:t>
      </w:r>
      <w:r w:rsidRPr="00E528F0">
        <w:rPr>
          <w:rFonts w:ascii="Times New Roman" w:hAnsi="Times New Roman"/>
          <w:sz w:val="24"/>
          <w:szCs w:val="24"/>
        </w:rPr>
        <w:t xml:space="preserve">in respect of </w:t>
      </w:r>
      <w:r w:rsidR="00FA38CB" w:rsidRPr="00E528F0">
        <w:rPr>
          <w:rFonts w:ascii="Times New Roman" w:hAnsi="Times New Roman"/>
          <w:sz w:val="24"/>
          <w:szCs w:val="24"/>
        </w:rPr>
        <w:t xml:space="preserve">proposals </w:t>
      </w:r>
      <w:r w:rsidR="00F013B1" w:rsidRPr="00E528F0">
        <w:rPr>
          <w:rFonts w:ascii="Times New Roman" w:hAnsi="Times New Roman"/>
          <w:sz w:val="24"/>
          <w:szCs w:val="24"/>
        </w:rPr>
        <w:t>for the installation of the United Kingdom Holocaust Memorial and Learning Centre</w:t>
      </w:r>
      <w:r w:rsidR="00FA38CB" w:rsidRPr="00E528F0">
        <w:rPr>
          <w:rFonts w:ascii="Times New Roman" w:hAnsi="Times New Roman"/>
          <w:sz w:val="24"/>
          <w:szCs w:val="24"/>
        </w:rPr>
        <w:t xml:space="preserve"> (the </w:t>
      </w:r>
      <w:r w:rsidR="00370531">
        <w:rPr>
          <w:rFonts w:ascii="Times New Roman" w:hAnsi="Times New Roman"/>
          <w:sz w:val="24"/>
          <w:szCs w:val="24"/>
        </w:rPr>
        <w:t>“</w:t>
      </w:r>
      <w:r w:rsidR="00FA38CB" w:rsidRPr="00141B41">
        <w:rPr>
          <w:rFonts w:ascii="Times New Roman" w:hAnsi="Times New Roman"/>
          <w:b/>
          <w:sz w:val="24"/>
          <w:szCs w:val="24"/>
        </w:rPr>
        <w:t>UKHMLC</w:t>
      </w:r>
      <w:r w:rsidR="00370531" w:rsidRPr="00370531">
        <w:rPr>
          <w:rFonts w:ascii="Times New Roman" w:hAnsi="Times New Roman"/>
          <w:sz w:val="24"/>
          <w:szCs w:val="24"/>
        </w:rPr>
        <w:t>”</w:t>
      </w:r>
      <w:r w:rsidR="00FA38CB" w:rsidRPr="00E528F0">
        <w:rPr>
          <w:rFonts w:ascii="Times New Roman" w:hAnsi="Times New Roman"/>
          <w:sz w:val="24"/>
          <w:szCs w:val="24"/>
        </w:rPr>
        <w:t xml:space="preserve">) </w:t>
      </w:r>
      <w:r w:rsidR="00F013B1" w:rsidRPr="00E528F0">
        <w:rPr>
          <w:rFonts w:ascii="Times New Roman" w:hAnsi="Times New Roman"/>
          <w:sz w:val="24"/>
          <w:szCs w:val="24"/>
        </w:rPr>
        <w:t>within Victoria Tower Gardens, Millbank, London (the “</w:t>
      </w:r>
      <w:r w:rsidR="00F013B1" w:rsidRPr="00E528F0">
        <w:rPr>
          <w:rFonts w:ascii="Times New Roman" w:hAnsi="Times New Roman"/>
          <w:b/>
          <w:sz w:val="24"/>
          <w:szCs w:val="24"/>
        </w:rPr>
        <w:t>Site</w:t>
      </w:r>
      <w:r w:rsidR="00F013B1" w:rsidRPr="00E528F0">
        <w:rPr>
          <w:rFonts w:ascii="Times New Roman" w:hAnsi="Times New Roman"/>
          <w:sz w:val="24"/>
          <w:szCs w:val="24"/>
        </w:rPr>
        <w:t>”).</w:t>
      </w:r>
    </w:p>
    <w:p w14:paraId="24DAECEE" w14:textId="273BEB4C" w:rsidR="005123D0" w:rsidRPr="005123D0" w:rsidRDefault="006100F1" w:rsidP="005123D0">
      <w:pPr>
        <w:pStyle w:val="Paragraph2"/>
        <w:numPr>
          <w:ilvl w:val="1"/>
          <w:numId w:val="1"/>
        </w:numPr>
        <w:spacing w:line="276" w:lineRule="auto"/>
        <w:ind w:left="709" w:hanging="709"/>
        <w:textAlignment w:val="baseline"/>
        <w:rPr>
          <w:rFonts w:ascii="Times New Roman" w:hAnsi="Times New Roman"/>
          <w:sz w:val="24"/>
          <w:szCs w:val="24"/>
        </w:rPr>
      </w:pPr>
      <w:r>
        <w:rPr>
          <w:rFonts w:ascii="Times New Roman" w:hAnsi="Times New Roman"/>
          <w:color w:val="000000"/>
          <w:sz w:val="24"/>
          <w:szCs w:val="24"/>
        </w:rPr>
        <w:t xml:space="preserve">No disputed matters, objections or representations have been made with regard to the </w:t>
      </w:r>
      <w:r w:rsidR="00FE6F4D">
        <w:rPr>
          <w:rFonts w:ascii="Times New Roman" w:hAnsi="Times New Roman"/>
          <w:color w:val="000000"/>
          <w:sz w:val="24"/>
          <w:szCs w:val="24"/>
        </w:rPr>
        <w:t>archaeology within the Scheme footprint</w:t>
      </w:r>
      <w:r>
        <w:rPr>
          <w:rFonts w:ascii="Times New Roman" w:hAnsi="Times New Roman"/>
          <w:color w:val="000000"/>
          <w:sz w:val="24"/>
          <w:szCs w:val="24"/>
        </w:rPr>
        <w:t>.</w:t>
      </w:r>
    </w:p>
    <w:p w14:paraId="058A548D" w14:textId="40BE8E23" w:rsidR="005740B2" w:rsidRPr="002825B7" w:rsidRDefault="002825B7" w:rsidP="006100F1">
      <w:pPr>
        <w:pStyle w:val="ListParagraph"/>
        <w:numPr>
          <w:ilvl w:val="1"/>
          <w:numId w:val="1"/>
        </w:numPr>
        <w:spacing w:line="276" w:lineRule="auto"/>
        <w:ind w:left="709" w:hanging="709"/>
        <w:jc w:val="both"/>
        <w:textAlignment w:val="baseline"/>
        <w:rPr>
          <w:rFonts w:eastAsia="Times New Roman"/>
          <w:b/>
          <w:color w:val="000000"/>
          <w:spacing w:val="20"/>
          <w:sz w:val="24"/>
          <w:szCs w:val="24"/>
        </w:rPr>
      </w:pPr>
      <w:r>
        <w:rPr>
          <w:rFonts w:eastAsia="Times New Roman"/>
          <w:color w:val="000000"/>
          <w:sz w:val="24"/>
          <w:szCs w:val="24"/>
        </w:rPr>
        <w:t>I will be providing evidence</w:t>
      </w:r>
      <w:r w:rsidR="006100F1">
        <w:rPr>
          <w:rFonts w:eastAsia="Times New Roman"/>
          <w:color w:val="000000"/>
          <w:sz w:val="24"/>
          <w:szCs w:val="24"/>
        </w:rPr>
        <w:t xml:space="preserve"> merely</w:t>
      </w:r>
      <w:r>
        <w:rPr>
          <w:rFonts w:eastAsia="Times New Roman"/>
          <w:color w:val="000000"/>
          <w:sz w:val="24"/>
          <w:szCs w:val="24"/>
        </w:rPr>
        <w:t xml:space="preserve"> on matters pertaining to the </w:t>
      </w:r>
      <w:r w:rsidR="008977D4">
        <w:rPr>
          <w:rFonts w:eastAsia="Times New Roman"/>
          <w:color w:val="000000"/>
          <w:sz w:val="24"/>
          <w:szCs w:val="24"/>
        </w:rPr>
        <w:t>delivery of the archeological programme in support of construction of UKHMLC</w:t>
      </w:r>
      <w:r>
        <w:rPr>
          <w:rFonts w:eastAsia="Times New Roman"/>
          <w:color w:val="000000"/>
          <w:sz w:val="24"/>
          <w:szCs w:val="24"/>
        </w:rPr>
        <w:t>. This is divided into two parts as follows:</w:t>
      </w:r>
    </w:p>
    <w:p w14:paraId="70A5477C" w14:textId="77777777" w:rsidR="002825B7" w:rsidRPr="005740B2" w:rsidRDefault="002825B7" w:rsidP="002825B7">
      <w:pPr>
        <w:pStyle w:val="ListParagraph"/>
        <w:spacing w:line="276" w:lineRule="auto"/>
        <w:ind w:left="709"/>
        <w:textAlignment w:val="baseline"/>
        <w:rPr>
          <w:rFonts w:eastAsia="Times New Roman"/>
          <w:b/>
          <w:color w:val="000000"/>
          <w:spacing w:val="20"/>
          <w:sz w:val="24"/>
          <w:szCs w:val="24"/>
        </w:rPr>
      </w:pPr>
    </w:p>
    <w:p w14:paraId="7D2791D4" w14:textId="6B5413A2" w:rsidR="002825B7" w:rsidRPr="002825B7" w:rsidRDefault="002825B7" w:rsidP="002825B7">
      <w:pPr>
        <w:pStyle w:val="ListParagraph"/>
        <w:numPr>
          <w:ilvl w:val="0"/>
          <w:numId w:val="29"/>
        </w:numPr>
        <w:spacing w:line="276" w:lineRule="auto"/>
        <w:jc w:val="both"/>
        <w:textAlignment w:val="baseline"/>
        <w:rPr>
          <w:rFonts w:eastAsia="Times New Roman"/>
          <w:b/>
          <w:color w:val="000000"/>
          <w:spacing w:val="14"/>
          <w:sz w:val="24"/>
          <w:szCs w:val="24"/>
        </w:rPr>
      </w:pPr>
      <w:r>
        <w:rPr>
          <w:sz w:val="24"/>
          <w:szCs w:val="24"/>
        </w:rPr>
        <w:t>Part 1 sets out the work undertaken to date</w:t>
      </w:r>
      <w:r w:rsidR="00FE6F4D">
        <w:rPr>
          <w:sz w:val="24"/>
          <w:szCs w:val="24"/>
        </w:rPr>
        <w:t>,</w:t>
      </w:r>
      <w:r>
        <w:rPr>
          <w:sz w:val="24"/>
          <w:szCs w:val="24"/>
        </w:rPr>
        <w:t xml:space="preserve"> </w:t>
      </w:r>
      <w:r w:rsidR="00FE6F4D">
        <w:rPr>
          <w:sz w:val="24"/>
          <w:szCs w:val="24"/>
        </w:rPr>
        <w:t xml:space="preserve">and the results thereof, </w:t>
      </w:r>
      <w:r>
        <w:rPr>
          <w:sz w:val="24"/>
          <w:szCs w:val="24"/>
        </w:rPr>
        <w:t xml:space="preserve">with regards to </w:t>
      </w:r>
      <w:r w:rsidR="008977D4">
        <w:rPr>
          <w:sz w:val="24"/>
          <w:szCs w:val="24"/>
        </w:rPr>
        <w:t>archaeological assessment and evaluation to support the planning application for UKHMLC</w:t>
      </w:r>
      <w:r>
        <w:rPr>
          <w:sz w:val="24"/>
          <w:szCs w:val="24"/>
        </w:rPr>
        <w:t>;</w:t>
      </w:r>
      <w:r w:rsidR="00CE415C">
        <w:rPr>
          <w:sz w:val="24"/>
          <w:szCs w:val="24"/>
        </w:rPr>
        <w:t xml:space="preserve"> it concludes with the archaeological planning condition;</w:t>
      </w:r>
    </w:p>
    <w:p w14:paraId="1DDE4B6A" w14:textId="6677472B" w:rsidR="002825B7" w:rsidRPr="002825B7" w:rsidRDefault="002825B7" w:rsidP="002825B7">
      <w:pPr>
        <w:pStyle w:val="ListParagraph"/>
        <w:numPr>
          <w:ilvl w:val="0"/>
          <w:numId w:val="29"/>
        </w:numPr>
        <w:spacing w:line="276" w:lineRule="auto"/>
        <w:jc w:val="both"/>
        <w:textAlignment w:val="baseline"/>
        <w:rPr>
          <w:rFonts w:eastAsia="Times New Roman"/>
          <w:b/>
          <w:color w:val="000000"/>
          <w:spacing w:val="14"/>
          <w:sz w:val="24"/>
          <w:szCs w:val="24"/>
        </w:rPr>
      </w:pPr>
      <w:r>
        <w:rPr>
          <w:sz w:val="24"/>
          <w:szCs w:val="24"/>
        </w:rPr>
        <w:t xml:space="preserve">Part 2 </w:t>
      </w:r>
      <w:r w:rsidR="008977D4">
        <w:rPr>
          <w:sz w:val="24"/>
          <w:szCs w:val="24"/>
        </w:rPr>
        <w:t xml:space="preserve">outlines the </w:t>
      </w:r>
      <w:r w:rsidR="00622456">
        <w:rPr>
          <w:sz w:val="24"/>
          <w:szCs w:val="24"/>
        </w:rPr>
        <w:t xml:space="preserve">archaeological </w:t>
      </w:r>
      <w:r w:rsidR="009011D8">
        <w:rPr>
          <w:sz w:val="24"/>
          <w:szCs w:val="24"/>
        </w:rPr>
        <w:t>mitigation</w:t>
      </w:r>
      <w:r w:rsidR="00622456">
        <w:rPr>
          <w:sz w:val="24"/>
          <w:szCs w:val="24"/>
        </w:rPr>
        <w:t xml:space="preserve"> strategy (AMS)</w:t>
      </w:r>
      <w:r w:rsidR="008977D4">
        <w:rPr>
          <w:sz w:val="24"/>
          <w:szCs w:val="24"/>
        </w:rPr>
        <w:t xml:space="preserve"> to be delivered </w:t>
      </w:r>
      <w:r w:rsidR="00BA7B20">
        <w:rPr>
          <w:sz w:val="24"/>
          <w:szCs w:val="24"/>
        </w:rPr>
        <w:t>in tandem with and integral to</w:t>
      </w:r>
      <w:r w:rsidR="008977D4">
        <w:rPr>
          <w:sz w:val="24"/>
          <w:szCs w:val="24"/>
        </w:rPr>
        <w:t xml:space="preserve"> the construction programme</w:t>
      </w:r>
      <w:r>
        <w:rPr>
          <w:sz w:val="24"/>
          <w:szCs w:val="24"/>
        </w:rPr>
        <w:t>.</w:t>
      </w:r>
    </w:p>
    <w:p w14:paraId="6C1E15F6" w14:textId="77777777" w:rsidR="00C77A9F" w:rsidRPr="00E528F0" w:rsidRDefault="00C77A9F" w:rsidP="008B0BAC">
      <w:pPr>
        <w:spacing w:line="276" w:lineRule="auto"/>
        <w:ind w:left="648" w:right="72"/>
        <w:jc w:val="both"/>
        <w:textAlignment w:val="baseline"/>
        <w:rPr>
          <w:rFonts w:eastAsia="Times New Roman"/>
          <w:color w:val="000000"/>
          <w:sz w:val="24"/>
          <w:szCs w:val="24"/>
        </w:rPr>
      </w:pPr>
    </w:p>
    <w:p w14:paraId="593D70EE" w14:textId="77777777" w:rsidR="00C77A9F" w:rsidRPr="00E528F0" w:rsidRDefault="00C77A9F" w:rsidP="008B0BAC">
      <w:pPr>
        <w:spacing w:line="276" w:lineRule="auto"/>
        <w:ind w:left="648" w:right="72"/>
        <w:jc w:val="both"/>
        <w:textAlignment w:val="baseline"/>
        <w:rPr>
          <w:rFonts w:eastAsia="Times New Roman"/>
          <w:color w:val="000000"/>
          <w:sz w:val="24"/>
          <w:szCs w:val="24"/>
        </w:rPr>
      </w:pPr>
    </w:p>
    <w:p w14:paraId="30704F47" w14:textId="77777777" w:rsidR="00C77A9F" w:rsidRPr="00E528F0" w:rsidRDefault="00C77A9F" w:rsidP="008B0BAC">
      <w:pPr>
        <w:spacing w:line="276" w:lineRule="auto"/>
        <w:ind w:right="72"/>
        <w:jc w:val="both"/>
        <w:textAlignment w:val="baseline"/>
        <w:rPr>
          <w:rFonts w:eastAsia="Times New Roman"/>
          <w:color w:val="000000"/>
          <w:sz w:val="24"/>
          <w:szCs w:val="24"/>
        </w:rPr>
        <w:sectPr w:rsidR="00C77A9F" w:rsidRPr="00E528F0" w:rsidSect="00C77A9F">
          <w:pgSz w:w="11909" w:h="16838"/>
          <w:pgMar w:top="1440" w:right="1440" w:bottom="1440" w:left="1440" w:header="720" w:footer="720" w:gutter="0"/>
          <w:cols w:space="720"/>
          <w:docGrid w:linePitch="299"/>
        </w:sectPr>
      </w:pPr>
    </w:p>
    <w:p w14:paraId="5F8A4E39" w14:textId="4986C473" w:rsidR="00C77A9F" w:rsidRPr="00B75B1A" w:rsidRDefault="003469A0" w:rsidP="00B75B1A">
      <w:pPr>
        <w:pStyle w:val="ListParagraph"/>
        <w:numPr>
          <w:ilvl w:val="0"/>
          <w:numId w:val="1"/>
        </w:numPr>
        <w:textAlignment w:val="baseline"/>
        <w:rPr>
          <w:rStyle w:val="Heading2Char"/>
          <w:rFonts w:ascii="Times New Roman" w:hAnsi="Times New Roman" w:cs="Times New Roman"/>
          <w:b/>
          <w:color w:val="000000" w:themeColor="text1"/>
          <w:sz w:val="24"/>
          <w:szCs w:val="24"/>
        </w:rPr>
      </w:pPr>
      <w:bookmarkStart w:id="4" w:name="_Toc42072440"/>
      <w:r>
        <w:rPr>
          <w:rStyle w:val="Heading2Char"/>
          <w:rFonts w:ascii="Times New Roman" w:hAnsi="Times New Roman" w:cs="Times New Roman"/>
          <w:b/>
          <w:color w:val="000000" w:themeColor="text1"/>
          <w:sz w:val="24"/>
          <w:szCs w:val="24"/>
        </w:rPr>
        <w:lastRenderedPageBreak/>
        <w:t>ARCHAEOLOGICAL ASSESSMENT AND EVALUATION TO DATE</w:t>
      </w:r>
      <w:bookmarkEnd w:id="4"/>
    </w:p>
    <w:p w14:paraId="6FDB1F4E" w14:textId="113712C0" w:rsidR="00C77A9F" w:rsidRPr="00A8468C" w:rsidRDefault="00C77A9F" w:rsidP="00A8468C">
      <w:pPr>
        <w:spacing w:line="276" w:lineRule="auto"/>
        <w:textAlignment w:val="baseline"/>
        <w:rPr>
          <w:rFonts w:eastAsia="Times New Roman"/>
          <w:b/>
          <w:color w:val="000000"/>
          <w:spacing w:val="14"/>
          <w:sz w:val="24"/>
          <w:szCs w:val="24"/>
        </w:rPr>
      </w:pPr>
    </w:p>
    <w:p w14:paraId="4205120C" w14:textId="3F4842DE" w:rsidR="00217089" w:rsidRPr="00E528F0" w:rsidRDefault="00217089" w:rsidP="00C00391">
      <w:pPr>
        <w:pStyle w:val="ListParagraph"/>
        <w:spacing w:line="276" w:lineRule="auto"/>
        <w:ind w:left="709"/>
        <w:jc w:val="both"/>
        <w:textAlignment w:val="baseline"/>
        <w:rPr>
          <w:rFonts w:eastAsia="Times New Roman"/>
          <w:b/>
          <w:color w:val="000000"/>
          <w:spacing w:val="14"/>
          <w:sz w:val="24"/>
          <w:szCs w:val="24"/>
        </w:rPr>
      </w:pPr>
    </w:p>
    <w:p w14:paraId="09553317" w14:textId="6EC91942" w:rsidR="00A529C5" w:rsidRPr="001E1E55" w:rsidRDefault="00A529C5" w:rsidP="00A529C5">
      <w:pPr>
        <w:pStyle w:val="ListParagraph"/>
        <w:numPr>
          <w:ilvl w:val="1"/>
          <w:numId w:val="1"/>
        </w:numPr>
        <w:spacing w:line="276" w:lineRule="auto"/>
        <w:ind w:left="709" w:hanging="709"/>
        <w:jc w:val="both"/>
        <w:textAlignment w:val="baseline"/>
        <w:rPr>
          <w:sz w:val="24"/>
          <w:szCs w:val="24"/>
        </w:rPr>
      </w:pPr>
      <w:r w:rsidRPr="001E1E55">
        <w:rPr>
          <w:sz w:val="24"/>
          <w:szCs w:val="24"/>
        </w:rPr>
        <w:t xml:space="preserve">In this section I present a summary of the </w:t>
      </w:r>
      <w:r w:rsidR="003469A0">
        <w:rPr>
          <w:sz w:val="24"/>
          <w:szCs w:val="24"/>
        </w:rPr>
        <w:t xml:space="preserve">archaeological assessment and evaluation work </w:t>
      </w:r>
      <w:r w:rsidRPr="001E1E55">
        <w:rPr>
          <w:sz w:val="24"/>
          <w:szCs w:val="24"/>
        </w:rPr>
        <w:t xml:space="preserve">undertaken to date </w:t>
      </w:r>
      <w:r w:rsidR="003469A0">
        <w:rPr>
          <w:sz w:val="24"/>
          <w:szCs w:val="24"/>
        </w:rPr>
        <w:t xml:space="preserve">alongside their </w:t>
      </w:r>
      <w:r w:rsidRPr="001E1E55">
        <w:rPr>
          <w:sz w:val="24"/>
          <w:szCs w:val="24"/>
        </w:rPr>
        <w:t>findings</w:t>
      </w:r>
      <w:r w:rsidR="003469A0">
        <w:rPr>
          <w:sz w:val="24"/>
          <w:szCs w:val="24"/>
        </w:rPr>
        <w:t>.</w:t>
      </w:r>
    </w:p>
    <w:p w14:paraId="6E3B2E54" w14:textId="77777777" w:rsidR="00D925F1" w:rsidRPr="00D925F1" w:rsidRDefault="00D925F1" w:rsidP="00D925F1">
      <w:pPr>
        <w:pStyle w:val="ListParagraph"/>
        <w:spacing w:line="276" w:lineRule="auto"/>
        <w:ind w:left="709"/>
        <w:jc w:val="both"/>
        <w:textAlignment w:val="baseline"/>
        <w:rPr>
          <w:rFonts w:eastAsia="Times New Roman"/>
          <w:b/>
          <w:color w:val="000000"/>
          <w:spacing w:val="14"/>
          <w:sz w:val="24"/>
          <w:szCs w:val="24"/>
        </w:rPr>
      </w:pPr>
    </w:p>
    <w:p w14:paraId="1BAC02E2" w14:textId="73E14C51" w:rsidR="00D925F1" w:rsidRPr="005F74B6" w:rsidRDefault="00E573A7" w:rsidP="00D925F1">
      <w:pPr>
        <w:pStyle w:val="ListParagraph"/>
        <w:spacing w:line="276" w:lineRule="auto"/>
        <w:ind w:left="709"/>
        <w:jc w:val="both"/>
        <w:textAlignment w:val="baseline"/>
        <w:rPr>
          <w:rFonts w:eastAsia="Times New Roman"/>
          <w:b/>
          <w:color w:val="000000"/>
          <w:spacing w:val="14"/>
          <w:sz w:val="24"/>
          <w:szCs w:val="24"/>
        </w:rPr>
      </w:pPr>
      <w:r>
        <w:rPr>
          <w:rFonts w:eastAsia="Times New Roman"/>
          <w:b/>
          <w:color w:val="000000"/>
          <w:spacing w:val="14"/>
          <w:sz w:val="24"/>
          <w:szCs w:val="24"/>
        </w:rPr>
        <w:t>Archaeological Summary</w:t>
      </w:r>
    </w:p>
    <w:p w14:paraId="6E75846C" w14:textId="77777777" w:rsidR="00D83928" w:rsidRPr="00D83928" w:rsidRDefault="00D83928" w:rsidP="00D83928">
      <w:pPr>
        <w:pStyle w:val="ListParagraph"/>
        <w:spacing w:line="276" w:lineRule="auto"/>
        <w:ind w:left="709"/>
        <w:jc w:val="both"/>
        <w:textAlignment w:val="baseline"/>
        <w:rPr>
          <w:rFonts w:eastAsia="Times New Roman"/>
          <w:b/>
          <w:color w:val="000000"/>
          <w:spacing w:val="14"/>
          <w:sz w:val="24"/>
          <w:szCs w:val="24"/>
        </w:rPr>
      </w:pPr>
    </w:p>
    <w:p w14:paraId="05685580" w14:textId="2774628C" w:rsidR="00324069" w:rsidRDefault="00324069" w:rsidP="00324069">
      <w:pPr>
        <w:pStyle w:val="ListParagraph"/>
        <w:numPr>
          <w:ilvl w:val="1"/>
          <w:numId w:val="1"/>
        </w:numPr>
        <w:spacing w:line="276" w:lineRule="auto"/>
        <w:ind w:left="709" w:hanging="709"/>
        <w:jc w:val="both"/>
        <w:textAlignment w:val="baseline"/>
        <w:rPr>
          <w:sz w:val="24"/>
          <w:szCs w:val="24"/>
        </w:rPr>
      </w:pPr>
      <w:r w:rsidRPr="00324069">
        <w:rPr>
          <w:sz w:val="24"/>
          <w:szCs w:val="24"/>
        </w:rPr>
        <w:t xml:space="preserve">The Site lies within a Grade II Registered Park which contains four further listed structures: The Grade I Listed statue of the Burghers of Calais, the Grade II* Listed Buxton Memorial, the Grade II Listed statue of Emmeline Pankhurst, and the Grade II Listed river embankment wall. </w:t>
      </w:r>
    </w:p>
    <w:p w14:paraId="36F56209" w14:textId="77777777" w:rsidR="00324069" w:rsidRPr="00324069" w:rsidRDefault="00324069" w:rsidP="00324069">
      <w:pPr>
        <w:pStyle w:val="ListParagraph"/>
        <w:spacing w:line="276" w:lineRule="auto"/>
        <w:ind w:left="709"/>
        <w:jc w:val="both"/>
        <w:textAlignment w:val="baseline"/>
        <w:rPr>
          <w:sz w:val="24"/>
          <w:szCs w:val="24"/>
        </w:rPr>
      </w:pPr>
    </w:p>
    <w:p w14:paraId="0EA4C4A1" w14:textId="30E0CA1E" w:rsidR="00324069" w:rsidRDefault="00324069" w:rsidP="00324069">
      <w:pPr>
        <w:pStyle w:val="ListParagraph"/>
        <w:numPr>
          <w:ilvl w:val="1"/>
          <w:numId w:val="1"/>
        </w:numPr>
        <w:spacing w:line="276" w:lineRule="auto"/>
        <w:ind w:left="709" w:hanging="709"/>
        <w:jc w:val="both"/>
        <w:textAlignment w:val="baseline"/>
        <w:rPr>
          <w:sz w:val="24"/>
          <w:szCs w:val="24"/>
        </w:rPr>
      </w:pPr>
      <w:r w:rsidRPr="00324069">
        <w:rPr>
          <w:sz w:val="24"/>
          <w:szCs w:val="24"/>
        </w:rPr>
        <w:t>The World Heritage</w:t>
      </w:r>
      <w:r w:rsidR="001518BE">
        <w:rPr>
          <w:sz w:val="24"/>
          <w:szCs w:val="24"/>
        </w:rPr>
        <w:t xml:space="preserve"> of </w:t>
      </w:r>
      <w:r w:rsidR="001518BE" w:rsidRPr="001518BE">
        <w:rPr>
          <w:sz w:val="24"/>
          <w:szCs w:val="24"/>
        </w:rPr>
        <w:t>World Heritage Site of Westminster Palace, Westminster Abbey and St Margaret’s church</w:t>
      </w:r>
      <w:r w:rsidRPr="00324069">
        <w:rPr>
          <w:sz w:val="24"/>
          <w:szCs w:val="24"/>
        </w:rPr>
        <w:t xml:space="preserve"> is immediately to the north of the Site. The Scheduled Monument of the Jewel Tower is 45m north-west of the Site. </w:t>
      </w:r>
    </w:p>
    <w:p w14:paraId="1B9C4AD5" w14:textId="77777777" w:rsidR="00324069" w:rsidRPr="00324069" w:rsidRDefault="00324069" w:rsidP="00324069">
      <w:pPr>
        <w:pStyle w:val="ListParagraph"/>
        <w:rPr>
          <w:sz w:val="24"/>
          <w:szCs w:val="24"/>
        </w:rPr>
      </w:pPr>
    </w:p>
    <w:p w14:paraId="6217FFA5" w14:textId="1E9AB6C4" w:rsidR="00324069" w:rsidRDefault="00324069" w:rsidP="00324069">
      <w:pPr>
        <w:pStyle w:val="ListParagraph"/>
        <w:numPr>
          <w:ilvl w:val="1"/>
          <w:numId w:val="1"/>
        </w:numPr>
        <w:spacing w:line="276" w:lineRule="auto"/>
        <w:ind w:left="709" w:hanging="709"/>
        <w:jc w:val="both"/>
        <w:textAlignment w:val="baseline"/>
        <w:rPr>
          <w:sz w:val="24"/>
          <w:szCs w:val="24"/>
        </w:rPr>
      </w:pPr>
      <w:r w:rsidRPr="00324069">
        <w:rPr>
          <w:sz w:val="24"/>
          <w:szCs w:val="24"/>
        </w:rPr>
        <w:t>The Site also lies within the Westminster Abbey and Parliament Square Conservation Area, and the Westminster and Thorney Island Archaeological Priority Area.</w:t>
      </w:r>
    </w:p>
    <w:p w14:paraId="306240DD" w14:textId="77777777" w:rsidR="009A3226" w:rsidRPr="00324069" w:rsidRDefault="009A3226" w:rsidP="009A3226">
      <w:pPr>
        <w:pStyle w:val="ListParagraph"/>
        <w:spacing w:line="276" w:lineRule="auto"/>
        <w:ind w:left="709"/>
        <w:jc w:val="both"/>
        <w:textAlignment w:val="baseline"/>
        <w:rPr>
          <w:sz w:val="24"/>
          <w:szCs w:val="24"/>
        </w:rPr>
      </w:pPr>
    </w:p>
    <w:p w14:paraId="4DB74EC2" w14:textId="445F38F3" w:rsidR="00324069" w:rsidRDefault="00324069" w:rsidP="00324069">
      <w:pPr>
        <w:pStyle w:val="ListParagraph"/>
        <w:numPr>
          <w:ilvl w:val="1"/>
          <w:numId w:val="1"/>
        </w:numPr>
        <w:spacing w:line="276" w:lineRule="auto"/>
        <w:ind w:left="709" w:hanging="709"/>
        <w:jc w:val="both"/>
        <w:textAlignment w:val="baseline"/>
        <w:rPr>
          <w:sz w:val="24"/>
          <w:szCs w:val="24"/>
        </w:rPr>
      </w:pPr>
      <w:r w:rsidRPr="00324069">
        <w:rPr>
          <w:sz w:val="24"/>
          <w:szCs w:val="24"/>
        </w:rPr>
        <w:t>Archaeological survival is expected to be high, as the site has remained open public space since the early 20th century. Archaeological features that may be affected by the Scheme comprise:</w:t>
      </w:r>
    </w:p>
    <w:p w14:paraId="0DEDCACD" w14:textId="77777777" w:rsidR="009A3226" w:rsidRPr="009A3226" w:rsidRDefault="009A3226" w:rsidP="009A3226">
      <w:pPr>
        <w:pStyle w:val="ListParagraph"/>
        <w:rPr>
          <w:sz w:val="24"/>
          <w:szCs w:val="24"/>
        </w:rPr>
      </w:pPr>
    </w:p>
    <w:p w14:paraId="141893E1" w14:textId="77777777" w:rsidR="009A3226" w:rsidRPr="00324069" w:rsidRDefault="009A3226" w:rsidP="009A3226">
      <w:pPr>
        <w:pStyle w:val="ListParagraph"/>
        <w:spacing w:line="276" w:lineRule="auto"/>
        <w:ind w:left="709"/>
        <w:jc w:val="both"/>
        <w:textAlignment w:val="baseline"/>
        <w:rPr>
          <w:sz w:val="24"/>
          <w:szCs w:val="24"/>
        </w:rPr>
      </w:pPr>
    </w:p>
    <w:p w14:paraId="0C553EF3" w14:textId="2D96BB9F" w:rsidR="00324069" w:rsidRPr="009A3226" w:rsidRDefault="00324069" w:rsidP="00324069">
      <w:pPr>
        <w:pStyle w:val="ListBulletLast"/>
        <w:spacing w:line="276" w:lineRule="auto"/>
        <w:rPr>
          <w:rFonts w:ascii="Times New Roman" w:hAnsi="Times New Roman" w:cs="Times New Roman"/>
          <w:color w:val="auto"/>
          <w:sz w:val="24"/>
          <w:szCs w:val="24"/>
        </w:rPr>
      </w:pPr>
      <w:r w:rsidRPr="009A3226">
        <w:rPr>
          <w:rFonts w:ascii="Times New Roman" w:hAnsi="Times New Roman" w:cs="Times New Roman"/>
          <w:color w:val="auto"/>
          <w:sz w:val="24"/>
          <w:szCs w:val="24"/>
        </w:rPr>
        <w:t xml:space="preserve">Palaeoenvironmental remains within alluvial deposits associated with the Rivers Thames and Tyburn of Low </w:t>
      </w:r>
      <w:r w:rsidR="00110843">
        <w:rPr>
          <w:rFonts w:ascii="Times New Roman" w:hAnsi="Times New Roman" w:cs="Times New Roman"/>
          <w:color w:val="auto"/>
          <w:sz w:val="24"/>
          <w:szCs w:val="24"/>
        </w:rPr>
        <w:t>to</w:t>
      </w:r>
      <w:r w:rsidRPr="009A3226">
        <w:rPr>
          <w:rFonts w:ascii="Times New Roman" w:hAnsi="Times New Roman" w:cs="Times New Roman"/>
          <w:color w:val="auto"/>
          <w:sz w:val="24"/>
          <w:szCs w:val="24"/>
        </w:rPr>
        <w:t xml:space="preserve"> Medium significance;</w:t>
      </w:r>
    </w:p>
    <w:p w14:paraId="3D5C94EB" w14:textId="77777777" w:rsidR="00324069" w:rsidRPr="009A3226" w:rsidRDefault="00324069" w:rsidP="00324069">
      <w:pPr>
        <w:pStyle w:val="ListBulletLast"/>
        <w:spacing w:line="276" w:lineRule="auto"/>
        <w:rPr>
          <w:rFonts w:ascii="Times New Roman" w:hAnsi="Times New Roman" w:cs="Times New Roman"/>
          <w:color w:val="auto"/>
          <w:sz w:val="24"/>
          <w:szCs w:val="24"/>
        </w:rPr>
      </w:pPr>
      <w:r w:rsidRPr="009A3226">
        <w:rPr>
          <w:rFonts w:ascii="Times New Roman" w:hAnsi="Times New Roman" w:cs="Times New Roman"/>
          <w:color w:val="auto"/>
          <w:sz w:val="24"/>
          <w:szCs w:val="24"/>
        </w:rPr>
        <w:t>Evidence of early exploitation of the River Thames and River Tyburn, including jetties, boats etc. of most likely Low to Medium significance, but potentially up to High significance;</w:t>
      </w:r>
    </w:p>
    <w:p w14:paraId="23C9CE65" w14:textId="77777777" w:rsidR="00324069" w:rsidRPr="009A3226" w:rsidRDefault="00324069" w:rsidP="00324069">
      <w:pPr>
        <w:pStyle w:val="ListBulletLast"/>
        <w:spacing w:line="276" w:lineRule="auto"/>
        <w:rPr>
          <w:rFonts w:ascii="Times New Roman" w:hAnsi="Times New Roman" w:cs="Times New Roman"/>
          <w:color w:val="auto"/>
          <w:sz w:val="24"/>
          <w:szCs w:val="24"/>
        </w:rPr>
      </w:pPr>
      <w:r w:rsidRPr="009A3226">
        <w:rPr>
          <w:rFonts w:ascii="Times New Roman" w:hAnsi="Times New Roman" w:cs="Times New Roman"/>
          <w:color w:val="auto"/>
          <w:sz w:val="24"/>
          <w:szCs w:val="24"/>
        </w:rPr>
        <w:t>Evidence of land reclamation from the 16th century onwards, including revetments, river-walls etc, of Low to Medium significance;</w:t>
      </w:r>
    </w:p>
    <w:p w14:paraId="0FFFB610" w14:textId="77777777" w:rsidR="00324069" w:rsidRPr="009A3226" w:rsidRDefault="00324069" w:rsidP="00324069">
      <w:pPr>
        <w:pStyle w:val="ListBulletLast"/>
        <w:spacing w:line="276" w:lineRule="auto"/>
        <w:rPr>
          <w:rFonts w:ascii="Times New Roman" w:hAnsi="Times New Roman" w:cs="Times New Roman"/>
          <w:color w:val="auto"/>
          <w:sz w:val="24"/>
          <w:szCs w:val="24"/>
        </w:rPr>
      </w:pPr>
      <w:r w:rsidRPr="009A3226">
        <w:rPr>
          <w:rFonts w:ascii="Times New Roman" w:hAnsi="Times New Roman" w:cs="Times New Roman"/>
          <w:color w:val="auto"/>
          <w:sz w:val="24"/>
          <w:szCs w:val="24"/>
        </w:rPr>
        <w:t>Evidence of riverine industrial activity from the 16th century onwards, including wharves, docks etc, of Low to Medium significance;</w:t>
      </w:r>
    </w:p>
    <w:p w14:paraId="5FF82E38" w14:textId="150D2B57" w:rsidR="00324069" w:rsidRPr="009A3226" w:rsidRDefault="00324069" w:rsidP="00324069">
      <w:pPr>
        <w:pStyle w:val="ListBulletLast"/>
        <w:spacing w:line="276" w:lineRule="auto"/>
        <w:rPr>
          <w:rFonts w:ascii="Times New Roman" w:hAnsi="Times New Roman" w:cs="Times New Roman"/>
          <w:color w:val="auto"/>
          <w:sz w:val="24"/>
          <w:szCs w:val="24"/>
        </w:rPr>
      </w:pPr>
      <w:r w:rsidRPr="009A3226">
        <w:rPr>
          <w:rFonts w:ascii="Times New Roman" w:hAnsi="Times New Roman" w:cs="Times New Roman"/>
          <w:color w:val="auto"/>
          <w:sz w:val="24"/>
          <w:szCs w:val="24"/>
        </w:rPr>
        <w:t xml:space="preserve">Garden features associated with the former layout of </w:t>
      </w:r>
      <w:r w:rsidR="00110843">
        <w:rPr>
          <w:rFonts w:ascii="Times New Roman" w:hAnsi="Times New Roman" w:cs="Times New Roman"/>
          <w:color w:val="auto"/>
          <w:sz w:val="24"/>
          <w:szCs w:val="24"/>
        </w:rPr>
        <w:t>the late 19</w:t>
      </w:r>
      <w:r w:rsidR="00110843" w:rsidRPr="00110843">
        <w:rPr>
          <w:rFonts w:ascii="Times New Roman" w:hAnsi="Times New Roman" w:cs="Times New Roman"/>
          <w:color w:val="auto"/>
          <w:sz w:val="24"/>
          <w:szCs w:val="24"/>
          <w:vertAlign w:val="superscript"/>
        </w:rPr>
        <w:t>th</w:t>
      </w:r>
      <w:r w:rsidR="00110843">
        <w:rPr>
          <w:rFonts w:ascii="Times New Roman" w:hAnsi="Times New Roman" w:cs="Times New Roman"/>
          <w:color w:val="auto"/>
          <w:sz w:val="24"/>
          <w:szCs w:val="24"/>
        </w:rPr>
        <w:t xml:space="preserve"> to 20</w:t>
      </w:r>
      <w:r w:rsidR="00110843" w:rsidRPr="00110843">
        <w:rPr>
          <w:rFonts w:ascii="Times New Roman" w:hAnsi="Times New Roman" w:cs="Times New Roman"/>
          <w:color w:val="auto"/>
          <w:sz w:val="24"/>
          <w:szCs w:val="24"/>
          <w:vertAlign w:val="superscript"/>
        </w:rPr>
        <w:t>th</w:t>
      </w:r>
      <w:r w:rsidR="00110843">
        <w:rPr>
          <w:rFonts w:ascii="Times New Roman" w:hAnsi="Times New Roman" w:cs="Times New Roman"/>
          <w:color w:val="auto"/>
          <w:sz w:val="24"/>
          <w:szCs w:val="24"/>
        </w:rPr>
        <w:t xml:space="preserve"> century </w:t>
      </w:r>
      <w:r w:rsidRPr="009A3226">
        <w:rPr>
          <w:rFonts w:ascii="Times New Roman" w:hAnsi="Times New Roman" w:cs="Times New Roman"/>
          <w:color w:val="auto"/>
          <w:sz w:val="24"/>
          <w:szCs w:val="24"/>
        </w:rPr>
        <w:t>Grade II Registered Park, of Low significance.</w:t>
      </w:r>
    </w:p>
    <w:p w14:paraId="2F90080D" w14:textId="77777777" w:rsidR="009A3226" w:rsidRPr="00324069" w:rsidRDefault="009A3226" w:rsidP="009A3226">
      <w:pPr>
        <w:pStyle w:val="ListBulletLast"/>
        <w:numPr>
          <w:ilvl w:val="0"/>
          <w:numId w:val="0"/>
        </w:numPr>
        <w:spacing w:line="276" w:lineRule="auto"/>
        <w:ind w:left="1381"/>
        <w:rPr>
          <w:rFonts w:ascii="Times New Roman" w:hAnsi="Times New Roman" w:cs="Times New Roman"/>
          <w:sz w:val="24"/>
          <w:szCs w:val="24"/>
        </w:rPr>
      </w:pPr>
    </w:p>
    <w:p w14:paraId="10FBFEE7" w14:textId="42A7C5B0" w:rsidR="00CE415C" w:rsidRDefault="00CE415C" w:rsidP="00324069">
      <w:pPr>
        <w:pStyle w:val="ListParagraph"/>
        <w:numPr>
          <w:ilvl w:val="1"/>
          <w:numId w:val="1"/>
        </w:numPr>
        <w:spacing w:line="276" w:lineRule="auto"/>
        <w:ind w:left="709" w:hanging="709"/>
        <w:jc w:val="both"/>
        <w:textAlignment w:val="baseline"/>
        <w:rPr>
          <w:sz w:val="24"/>
          <w:szCs w:val="24"/>
        </w:rPr>
      </w:pPr>
      <w:r>
        <w:rPr>
          <w:sz w:val="24"/>
          <w:szCs w:val="24"/>
        </w:rPr>
        <w:t>A staged programme of archaeological assessment and survey was undertaken to characterise the archaeological potential of the Site, to establish its likely significance, and predict any potential impacts to the archaeological resource deriving from delivery of the Scheme. This programme of archaeological assessment and survey was undertaken in consultation with Greater London Archaeological Advisory Service (GLAAS</w:t>
      </w:r>
      <w:r w:rsidR="00F035A1">
        <w:rPr>
          <w:sz w:val="24"/>
          <w:szCs w:val="24"/>
        </w:rPr>
        <w:t xml:space="preserve">) and to written schemes of investigation (WSI) approved by them. </w:t>
      </w:r>
    </w:p>
    <w:p w14:paraId="577D5B0F" w14:textId="77777777" w:rsidR="00CE415C" w:rsidRDefault="00CE415C" w:rsidP="00CE415C">
      <w:pPr>
        <w:pStyle w:val="ListParagraph"/>
        <w:spacing w:line="276" w:lineRule="auto"/>
        <w:ind w:left="709"/>
        <w:jc w:val="both"/>
        <w:textAlignment w:val="baseline"/>
        <w:rPr>
          <w:sz w:val="24"/>
          <w:szCs w:val="24"/>
        </w:rPr>
      </w:pPr>
    </w:p>
    <w:p w14:paraId="4F121334" w14:textId="52CB2CAA" w:rsidR="00324069" w:rsidRDefault="00324069" w:rsidP="00324069">
      <w:pPr>
        <w:pStyle w:val="ListParagraph"/>
        <w:numPr>
          <w:ilvl w:val="1"/>
          <w:numId w:val="1"/>
        </w:numPr>
        <w:spacing w:line="276" w:lineRule="auto"/>
        <w:ind w:left="709" w:hanging="709"/>
        <w:jc w:val="both"/>
        <w:textAlignment w:val="baseline"/>
        <w:rPr>
          <w:sz w:val="24"/>
          <w:szCs w:val="24"/>
        </w:rPr>
      </w:pPr>
      <w:r w:rsidRPr="00324069">
        <w:rPr>
          <w:sz w:val="24"/>
          <w:szCs w:val="24"/>
        </w:rPr>
        <w:t xml:space="preserve">A geophysical ground penetrating radar survey of the site was undertaken in 2017 </w:t>
      </w:r>
      <w:r w:rsidR="008E657B">
        <w:rPr>
          <w:sz w:val="24"/>
          <w:szCs w:val="24"/>
        </w:rPr>
        <w:t xml:space="preserve">(Appendix A) </w:t>
      </w:r>
      <w:r w:rsidRPr="00324069">
        <w:rPr>
          <w:sz w:val="24"/>
          <w:szCs w:val="24"/>
        </w:rPr>
        <w:t>and has informed all subsequent archaeological reporting and fieldwork design.</w:t>
      </w:r>
    </w:p>
    <w:p w14:paraId="53D821C7" w14:textId="77777777" w:rsidR="00A676D3" w:rsidRDefault="00A676D3" w:rsidP="00A676D3">
      <w:pPr>
        <w:pStyle w:val="ListParagraph"/>
        <w:spacing w:line="276" w:lineRule="auto"/>
        <w:ind w:left="709"/>
        <w:jc w:val="both"/>
        <w:textAlignment w:val="baseline"/>
        <w:rPr>
          <w:sz w:val="24"/>
          <w:szCs w:val="24"/>
        </w:rPr>
      </w:pPr>
    </w:p>
    <w:p w14:paraId="53DCD6DC" w14:textId="3D3920FD" w:rsidR="00A676D3" w:rsidRDefault="00A676D3" w:rsidP="00324069">
      <w:pPr>
        <w:pStyle w:val="ListParagraph"/>
        <w:numPr>
          <w:ilvl w:val="1"/>
          <w:numId w:val="1"/>
        </w:numPr>
        <w:spacing w:line="276" w:lineRule="auto"/>
        <w:ind w:left="709" w:hanging="709"/>
        <w:jc w:val="both"/>
        <w:textAlignment w:val="baseline"/>
        <w:rPr>
          <w:sz w:val="24"/>
          <w:szCs w:val="24"/>
        </w:rPr>
      </w:pPr>
      <w:r>
        <w:rPr>
          <w:sz w:val="24"/>
          <w:szCs w:val="24"/>
        </w:rPr>
        <w:t>A detailed desk based assessment was then developed and reported on in April 2019 and further updated as the results of geoarchaeological investigations became available</w:t>
      </w:r>
      <w:r w:rsidR="008E657B">
        <w:rPr>
          <w:sz w:val="24"/>
          <w:szCs w:val="24"/>
        </w:rPr>
        <w:t xml:space="preserve"> (Appendix B)</w:t>
      </w:r>
      <w:r>
        <w:rPr>
          <w:sz w:val="24"/>
          <w:szCs w:val="24"/>
        </w:rPr>
        <w:t>. This detailed desk based assessment utilised historic environment data, historic mapping, and historic images (including paintings), alongside published and unpublished archaeological reporting for the Westminster area to develop an understanding of the nature and significance of any archaeology likely to be encountered within the scheme footprint.</w:t>
      </w:r>
    </w:p>
    <w:p w14:paraId="4616BD83" w14:textId="77777777" w:rsidR="009A3226" w:rsidRPr="00324069" w:rsidRDefault="009A3226" w:rsidP="009A3226">
      <w:pPr>
        <w:pStyle w:val="ListParagraph"/>
        <w:spacing w:line="276" w:lineRule="auto"/>
        <w:ind w:left="709"/>
        <w:jc w:val="both"/>
        <w:textAlignment w:val="baseline"/>
        <w:rPr>
          <w:sz w:val="24"/>
          <w:szCs w:val="24"/>
        </w:rPr>
      </w:pPr>
    </w:p>
    <w:p w14:paraId="03778B36" w14:textId="4CADC9F6" w:rsidR="00324069" w:rsidRDefault="00324069" w:rsidP="00324069">
      <w:pPr>
        <w:pStyle w:val="ListParagraph"/>
        <w:numPr>
          <w:ilvl w:val="1"/>
          <w:numId w:val="1"/>
        </w:numPr>
        <w:spacing w:line="276" w:lineRule="auto"/>
        <w:ind w:left="709" w:hanging="709"/>
        <w:jc w:val="both"/>
        <w:textAlignment w:val="baseline"/>
        <w:rPr>
          <w:sz w:val="24"/>
          <w:szCs w:val="24"/>
        </w:rPr>
      </w:pPr>
      <w:r w:rsidRPr="00324069">
        <w:rPr>
          <w:sz w:val="24"/>
          <w:szCs w:val="24"/>
        </w:rPr>
        <w:t>This was followed by an initial phase of monitoring geotechnical test pits and assessing the logs from geoarchaeological boreholes carried out in April and June 2019</w:t>
      </w:r>
      <w:r w:rsidR="008E657B">
        <w:rPr>
          <w:sz w:val="24"/>
          <w:szCs w:val="24"/>
        </w:rPr>
        <w:t xml:space="preserve"> (Appendix C)</w:t>
      </w:r>
      <w:r w:rsidRPr="00324069">
        <w:rPr>
          <w:sz w:val="24"/>
          <w:szCs w:val="24"/>
        </w:rPr>
        <w:t>. The results of this informed a subsequent programme of purposive geoarchaeological sampling</w:t>
      </w:r>
      <w:r w:rsidR="002657DB">
        <w:rPr>
          <w:sz w:val="24"/>
          <w:szCs w:val="24"/>
        </w:rPr>
        <w:t xml:space="preserve"> reported on in October 2019</w:t>
      </w:r>
      <w:r w:rsidRPr="00324069">
        <w:rPr>
          <w:sz w:val="24"/>
          <w:szCs w:val="24"/>
        </w:rPr>
        <w:t xml:space="preserve"> to date the alluvial sequence and create a sub-surface deposit model</w:t>
      </w:r>
      <w:r w:rsidR="008E657B">
        <w:rPr>
          <w:sz w:val="24"/>
          <w:szCs w:val="24"/>
        </w:rPr>
        <w:t xml:space="preserve"> (Appendix D)</w:t>
      </w:r>
      <w:r w:rsidRPr="00324069">
        <w:rPr>
          <w:sz w:val="24"/>
          <w:szCs w:val="24"/>
        </w:rPr>
        <w:t>.</w:t>
      </w:r>
    </w:p>
    <w:p w14:paraId="1DC2F3CC" w14:textId="77777777" w:rsidR="009A3226" w:rsidRPr="00324069" w:rsidRDefault="009A3226" w:rsidP="009A3226">
      <w:pPr>
        <w:pStyle w:val="ListParagraph"/>
        <w:spacing w:line="276" w:lineRule="auto"/>
        <w:ind w:left="709"/>
        <w:jc w:val="both"/>
        <w:textAlignment w:val="baseline"/>
        <w:rPr>
          <w:sz w:val="24"/>
          <w:szCs w:val="24"/>
        </w:rPr>
      </w:pPr>
    </w:p>
    <w:p w14:paraId="18C7873C" w14:textId="77777777" w:rsidR="00397F65" w:rsidRDefault="00397F65" w:rsidP="00397F65">
      <w:pPr>
        <w:pStyle w:val="ListParagraph"/>
        <w:numPr>
          <w:ilvl w:val="1"/>
          <w:numId w:val="1"/>
        </w:numPr>
        <w:spacing w:line="276" w:lineRule="auto"/>
        <w:ind w:left="709" w:hanging="709"/>
        <w:jc w:val="both"/>
        <w:textAlignment w:val="baseline"/>
        <w:rPr>
          <w:sz w:val="24"/>
          <w:szCs w:val="24"/>
        </w:rPr>
      </w:pPr>
      <w:r>
        <w:rPr>
          <w:sz w:val="24"/>
          <w:szCs w:val="24"/>
        </w:rPr>
        <w:t xml:space="preserve">The presence of a palaeochannel containing organic alluvial deposits, potentially a former mouth of the River Tyburn, was identified in the southern portion of the Scheme footprint. Carbon dating of organic alluvial deposits within this showed that its formation predated the early Neolithic period and could therefore be a rare example of very early Holocene deposition in this part of London. </w:t>
      </w:r>
    </w:p>
    <w:p w14:paraId="399BCDCE" w14:textId="77777777" w:rsidR="00397F65" w:rsidRPr="00397F65" w:rsidRDefault="00397F65" w:rsidP="00397F65">
      <w:pPr>
        <w:pStyle w:val="ListParagraph"/>
        <w:rPr>
          <w:sz w:val="24"/>
          <w:szCs w:val="24"/>
        </w:rPr>
      </w:pPr>
    </w:p>
    <w:p w14:paraId="0F0D28DB" w14:textId="0121810C" w:rsidR="00397F65" w:rsidRPr="00324069" w:rsidRDefault="00397F65" w:rsidP="00397F65">
      <w:pPr>
        <w:pStyle w:val="ListParagraph"/>
        <w:numPr>
          <w:ilvl w:val="1"/>
          <w:numId w:val="1"/>
        </w:numPr>
        <w:spacing w:line="276" w:lineRule="auto"/>
        <w:ind w:left="709" w:hanging="709"/>
        <w:jc w:val="both"/>
        <w:textAlignment w:val="baseline"/>
        <w:rPr>
          <w:sz w:val="24"/>
          <w:szCs w:val="24"/>
        </w:rPr>
      </w:pPr>
      <w:r>
        <w:rPr>
          <w:sz w:val="24"/>
          <w:szCs w:val="24"/>
        </w:rPr>
        <w:t>From the Neolithic through to latter Romano-British period the deposition largely indicates an active fluvial and tidal environment with limited archaeological potential. Organic deposition was again identified towards the top of the surviving alluvial sequence and carbon dated to the mid to late Saxon period alongside palaeoenvironmental evidence for nearby human activity. The alluvial sequence on the site appears to have been truncated above this, the exact mechanism for which presently remains unknown</w:t>
      </w:r>
      <w:r w:rsidR="00110843">
        <w:rPr>
          <w:sz w:val="24"/>
          <w:szCs w:val="24"/>
        </w:rPr>
        <w:t>, whether through tidal scour or truncation during reclamation of the riverside.</w:t>
      </w:r>
    </w:p>
    <w:p w14:paraId="557F18E3" w14:textId="77777777" w:rsidR="009A3226" w:rsidRPr="00324069" w:rsidRDefault="009A3226" w:rsidP="009A3226">
      <w:pPr>
        <w:pStyle w:val="ListParagraph"/>
        <w:spacing w:line="276" w:lineRule="auto"/>
        <w:ind w:left="709"/>
        <w:jc w:val="both"/>
        <w:textAlignment w:val="baseline"/>
        <w:rPr>
          <w:sz w:val="24"/>
          <w:szCs w:val="24"/>
        </w:rPr>
      </w:pPr>
    </w:p>
    <w:p w14:paraId="34726C77" w14:textId="30763435" w:rsidR="00324069" w:rsidRDefault="00110843" w:rsidP="00324069">
      <w:pPr>
        <w:pStyle w:val="ListParagraph"/>
        <w:numPr>
          <w:ilvl w:val="1"/>
          <w:numId w:val="1"/>
        </w:numPr>
        <w:spacing w:line="276" w:lineRule="auto"/>
        <w:ind w:left="709" w:hanging="709"/>
        <w:jc w:val="both"/>
        <w:textAlignment w:val="baseline"/>
        <w:rPr>
          <w:sz w:val="24"/>
          <w:szCs w:val="24"/>
        </w:rPr>
      </w:pPr>
      <w:r>
        <w:rPr>
          <w:sz w:val="24"/>
          <w:szCs w:val="24"/>
        </w:rPr>
        <w:t>From the desk based mapping exercise it is evident that t</w:t>
      </w:r>
      <w:r w:rsidR="00324069" w:rsidRPr="00324069">
        <w:rPr>
          <w:sz w:val="24"/>
          <w:szCs w:val="24"/>
        </w:rPr>
        <w:t>he remains of features associated with both the former medieval Abbot</w:t>
      </w:r>
      <w:r>
        <w:rPr>
          <w:sz w:val="24"/>
          <w:szCs w:val="24"/>
        </w:rPr>
        <w:t>’</w:t>
      </w:r>
      <w:r w:rsidR="00324069" w:rsidRPr="00324069">
        <w:rPr>
          <w:sz w:val="24"/>
          <w:szCs w:val="24"/>
        </w:rPr>
        <w:t>s Mill and medieval to early post medieval Queen</w:t>
      </w:r>
      <w:r>
        <w:rPr>
          <w:sz w:val="24"/>
          <w:szCs w:val="24"/>
        </w:rPr>
        <w:t>’</w:t>
      </w:r>
      <w:r w:rsidR="00324069" w:rsidRPr="00324069">
        <w:rPr>
          <w:sz w:val="24"/>
          <w:szCs w:val="24"/>
        </w:rPr>
        <w:t>s Slaughterhouse (and any other remains directly associated with the medieval Palace and Abbey at Westminster) lie outside of and to the north-west of the scheme footprint</w:t>
      </w:r>
      <w:r w:rsidR="009A3226">
        <w:rPr>
          <w:sz w:val="24"/>
          <w:szCs w:val="24"/>
        </w:rPr>
        <w:t>.</w:t>
      </w:r>
    </w:p>
    <w:p w14:paraId="15921C6E" w14:textId="77777777" w:rsidR="009A3226" w:rsidRPr="00324069" w:rsidRDefault="009A3226" w:rsidP="009A3226">
      <w:pPr>
        <w:pStyle w:val="ListParagraph"/>
        <w:spacing w:line="276" w:lineRule="auto"/>
        <w:ind w:left="709"/>
        <w:jc w:val="both"/>
        <w:textAlignment w:val="baseline"/>
        <w:rPr>
          <w:sz w:val="24"/>
          <w:szCs w:val="24"/>
        </w:rPr>
      </w:pPr>
    </w:p>
    <w:p w14:paraId="24B7DCD6" w14:textId="7421A9F9" w:rsidR="00324069" w:rsidRDefault="009A3226" w:rsidP="00324069">
      <w:pPr>
        <w:pStyle w:val="ListParagraph"/>
        <w:numPr>
          <w:ilvl w:val="1"/>
          <w:numId w:val="1"/>
        </w:numPr>
        <w:spacing w:line="276" w:lineRule="auto"/>
        <w:ind w:left="709" w:hanging="709"/>
        <w:jc w:val="both"/>
        <w:textAlignment w:val="baseline"/>
        <w:rPr>
          <w:sz w:val="24"/>
          <w:szCs w:val="24"/>
        </w:rPr>
      </w:pPr>
      <w:r>
        <w:rPr>
          <w:sz w:val="24"/>
          <w:szCs w:val="24"/>
        </w:rPr>
        <w:t>N</w:t>
      </w:r>
      <w:r w:rsidR="00324069" w:rsidRPr="00324069">
        <w:rPr>
          <w:sz w:val="24"/>
          <w:szCs w:val="24"/>
        </w:rPr>
        <w:t>o evidence for anything other than post</w:t>
      </w:r>
      <w:r w:rsidR="00895C07">
        <w:rPr>
          <w:sz w:val="24"/>
          <w:szCs w:val="24"/>
        </w:rPr>
        <w:t>-</w:t>
      </w:r>
      <w:r w:rsidR="00324069" w:rsidRPr="00324069">
        <w:rPr>
          <w:sz w:val="24"/>
          <w:szCs w:val="24"/>
        </w:rPr>
        <w:t>medieval land reclamation and subsequent development and re-development of riverside wharfs and associate</w:t>
      </w:r>
      <w:r w:rsidR="00110843">
        <w:rPr>
          <w:sz w:val="24"/>
          <w:szCs w:val="24"/>
        </w:rPr>
        <w:t>d</w:t>
      </w:r>
      <w:r w:rsidR="00324069" w:rsidRPr="00324069">
        <w:rPr>
          <w:sz w:val="24"/>
          <w:szCs w:val="24"/>
        </w:rPr>
        <w:t xml:space="preserve"> features</w:t>
      </w:r>
      <w:r w:rsidR="00110843">
        <w:rPr>
          <w:sz w:val="24"/>
          <w:szCs w:val="24"/>
        </w:rPr>
        <w:t xml:space="preserve"> and industry</w:t>
      </w:r>
      <w:r w:rsidR="00324069" w:rsidRPr="00324069">
        <w:rPr>
          <w:sz w:val="24"/>
          <w:szCs w:val="24"/>
        </w:rPr>
        <w:t xml:space="preserve"> has been identified overlying the alluvium within the scheme footprint. The buried remains of this form of development are not unique in London, but are </w:t>
      </w:r>
      <w:r w:rsidR="00324069" w:rsidRPr="00324069">
        <w:rPr>
          <w:sz w:val="24"/>
          <w:szCs w:val="24"/>
        </w:rPr>
        <w:lastRenderedPageBreak/>
        <w:t>nevertheless, given their probable association with the development of the suburbs around Westminster from the 17th century onwards</w:t>
      </w:r>
      <w:r w:rsidR="00F77EBA">
        <w:rPr>
          <w:sz w:val="24"/>
          <w:szCs w:val="24"/>
        </w:rPr>
        <w:t>,</w:t>
      </w:r>
      <w:r>
        <w:rPr>
          <w:sz w:val="24"/>
          <w:szCs w:val="24"/>
        </w:rPr>
        <w:t xml:space="preserve"> and their likely excellent state of survival</w:t>
      </w:r>
      <w:r w:rsidR="00110843">
        <w:rPr>
          <w:sz w:val="24"/>
          <w:szCs w:val="24"/>
        </w:rPr>
        <w:t xml:space="preserve"> and complexity</w:t>
      </w:r>
      <w:r w:rsidR="00324069" w:rsidRPr="00324069">
        <w:rPr>
          <w:sz w:val="24"/>
          <w:szCs w:val="24"/>
        </w:rPr>
        <w:t xml:space="preserve">, of </w:t>
      </w:r>
      <w:r>
        <w:rPr>
          <w:sz w:val="24"/>
          <w:szCs w:val="24"/>
        </w:rPr>
        <w:t>such</w:t>
      </w:r>
      <w:r w:rsidR="00324069" w:rsidRPr="00324069">
        <w:rPr>
          <w:sz w:val="24"/>
          <w:szCs w:val="24"/>
        </w:rPr>
        <w:t xml:space="preserve"> significance </w:t>
      </w:r>
      <w:r>
        <w:rPr>
          <w:sz w:val="24"/>
          <w:szCs w:val="24"/>
        </w:rPr>
        <w:t>that they will</w:t>
      </w:r>
      <w:r w:rsidR="00324069" w:rsidRPr="00324069">
        <w:rPr>
          <w:sz w:val="24"/>
          <w:szCs w:val="24"/>
        </w:rPr>
        <w:t xml:space="preserve"> require detailed archaeological investigation before their removal</w:t>
      </w:r>
      <w:r>
        <w:rPr>
          <w:sz w:val="24"/>
          <w:szCs w:val="24"/>
        </w:rPr>
        <w:t>.</w:t>
      </w:r>
    </w:p>
    <w:p w14:paraId="2F845650" w14:textId="77777777" w:rsidR="009A3226" w:rsidRPr="00324069" w:rsidRDefault="009A3226" w:rsidP="009A3226">
      <w:pPr>
        <w:pStyle w:val="ListParagraph"/>
        <w:spacing w:line="276" w:lineRule="auto"/>
        <w:ind w:left="709"/>
        <w:jc w:val="both"/>
        <w:textAlignment w:val="baseline"/>
        <w:rPr>
          <w:sz w:val="24"/>
          <w:szCs w:val="24"/>
        </w:rPr>
      </w:pPr>
    </w:p>
    <w:p w14:paraId="3C9FBBC9" w14:textId="2FD00811" w:rsidR="00324069" w:rsidRDefault="009A3226" w:rsidP="00324069">
      <w:pPr>
        <w:pStyle w:val="ListParagraph"/>
        <w:numPr>
          <w:ilvl w:val="1"/>
          <w:numId w:val="1"/>
        </w:numPr>
        <w:spacing w:line="276" w:lineRule="auto"/>
        <w:ind w:left="709" w:hanging="709"/>
        <w:jc w:val="both"/>
        <w:textAlignment w:val="baseline"/>
        <w:rPr>
          <w:sz w:val="24"/>
          <w:szCs w:val="24"/>
        </w:rPr>
      </w:pPr>
      <w:r>
        <w:rPr>
          <w:sz w:val="24"/>
          <w:szCs w:val="24"/>
        </w:rPr>
        <w:t>T</w:t>
      </w:r>
      <w:r w:rsidR="00324069" w:rsidRPr="00324069">
        <w:rPr>
          <w:sz w:val="24"/>
          <w:szCs w:val="24"/>
        </w:rPr>
        <w:t>he evidence for post medieval reclamation and development of the area within Victoria Tower Gardens is uniformly sealed by c. 1.2m of homogeneous topsoil, imported onto the site during creation of the current park in the late 19th to early 20th centuries. No buried features atypical of the creation of a late 19th to early 20th century municipal park or features established by any notable park designers/architects have been identified within the park from historic mapping, documentary sources or historic photographs. The park archaeology within the scheme footprint is therefore considered to be of low significance and can largely be re-created from the documentary record alone</w:t>
      </w:r>
      <w:r>
        <w:rPr>
          <w:sz w:val="24"/>
          <w:szCs w:val="24"/>
        </w:rPr>
        <w:t>.</w:t>
      </w:r>
    </w:p>
    <w:p w14:paraId="5AD25296" w14:textId="77777777" w:rsidR="009A3226" w:rsidRPr="00324069" w:rsidRDefault="009A3226" w:rsidP="009A3226">
      <w:pPr>
        <w:pStyle w:val="ListParagraph"/>
        <w:spacing w:line="276" w:lineRule="auto"/>
        <w:ind w:left="709"/>
        <w:jc w:val="both"/>
        <w:textAlignment w:val="baseline"/>
        <w:rPr>
          <w:sz w:val="24"/>
          <w:szCs w:val="24"/>
        </w:rPr>
      </w:pPr>
    </w:p>
    <w:p w14:paraId="59A98BD6" w14:textId="151BFE25" w:rsidR="00CE415C" w:rsidRPr="005F74B6" w:rsidRDefault="00CE415C" w:rsidP="00CE415C">
      <w:pPr>
        <w:pStyle w:val="ListParagraph"/>
        <w:spacing w:line="276" w:lineRule="auto"/>
        <w:ind w:left="709"/>
        <w:jc w:val="both"/>
        <w:textAlignment w:val="baseline"/>
        <w:rPr>
          <w:rFonts w:eastAsia="Times New Roman"/>
          <w:b/>
          <w:color w:val="000000"/>
          <w:spacing w:val="14"/>
          <w:sz w:val="24"/>
          <w:szCs w:val="24"/>
        </w:rPr>
      </w:pPr>
      <w:r>
        <w:rPr>
          <w:rFonts w:eastAsia="Times New Roman"/>
          <w:b/>
          <w:color w:val="000000"/>
          <w:spacing w:val="14"/>
          <w:sz w:val="24"/>
          <w:szCs w:val="24"/>
        </w:rPr>
        <w:t>Archaeological Condition</w:t>
      </w:r>
    </w:p>
    <w:p w14:paraId="2295998B" w14:textId="5AD732CF" w:rsidR="00E33B5A" w:rsidRPr="00646333" w:rsidRDefault="00E33B5A" w:rsidP="009A3226">
      <w:pPr>
        <w:pStyle w:val="ListParagraph"/>
        <w:spacing w:line="276" w:lineRule="auto"/>
        <w:ind w:left="709"/>
        <w:jc w:val="both"/>
        <w:textAlignment w:val="baseline"/>
        <w:rPr>
          <w:rFonts w:eastAsia="Times New Roman"/>
          <w:b/>
          <w:color w:val="000000"/>
          <w:spacing w:val="14"/>
          <w:sz w:val="24"/>
          <w:szCs w:val="24"/>
        </w:rPr>
      </w:pPr>
    </w:p>
    <w:p w14:paraId="47842583" w14:textId="77777777" w:rsidR="00C22F23" w:rsidRDefault="00F035A1" w:rsidP="00F035A1">
      <w:pPr>
        <w:pStyle w:val="ListParagraph"/>
        <w:numPr>
          <w:ilvl w:val="1"/>
          <w:numId w:val="1"/>
        </w:numPr>
        <w:spacing w:line="276" w:lineRule="auto"/>
        <w:ind w:left="709" w:hanging="709"/>
        <w:jc w:val="both"/>
        <w:textAlignment w:val="baseline"/>
        <w:rPr>
          <w:sz w:val="24"/>
          <w:szCs w:val="24"/>
        </w:rPr>
      </w:pPr>
      <w:r w:rsidRPr="00324069">
        <w:rPr>
          <w:sz w:val="24"/>
          <w:szCs w:val="24"/>
        </w:rPr>
        <w:t>The results of the surveys and archaeological investigations to date indicate</w:t>
      </w:r>
      <w:r>
        <w:rPr>
          <w:sz w:val="24"/>
          <w:szCs w:val="24"/>
        </w:rPr>
        <w:t>d to GLAAS</w:t>
      </w:r>
      <w:r w:rsidRPr="00324069">
        <w:rPr>
          <w:sz w:val="24"/>
          <w:szCs w:val="24"/>
        </w:rPr>
        <w:t xml:space="preserve"> that the balance of probability is that there are no archaeological remains of such significance to be a constraint on construction of the UKHM</w:t>
      </w:r>
      <w:r>
        <w:rPr>
          <w:sz w:val="24"/>
          <w:szCs w:val="24"/>
        </w:rPr>
        <w:t xml:space="preserve"> and that, with implementation of an appropriate archaeological programme, the archaeological on the Site can be ameliorated by record</w:t>
      </w:r>
      <w:r w:rsidRPr="00324069">
        <w:rPr>
          <w:sz w:val="24"/>
          <w:szCs w:val="24"/>
        </w:rPr>
        <w:t xml:space="preserve">. </w:t>
      </w:r>
      <w:r>
        <w:rPr>
          <w:sz w:val="24"/>
          <w:szCs w:val="24"/>
        </w:rPr>
        <w:t xml:space="preserve">A draft archaeological condition to be set on any planning consent has therefore been proposed. </w:t>
      </w:r>
      <w:r w:rsidR="00C22F23">
        <w:rPr>
          <w:sz w:val="24"/>
          <w:szCs w:val="24"/>
        </w:rPr>
        <w:t>This states:</w:t>
      </w:r>
    </w:p>
    <w:p w14:paraId="5A3772E1" w14:textId="6F5226D8" w:rsidR="00646333" w:rsidRDefault="00646333" w:rsidP="00C22F23">
      <w:pPr>
        <w:pStyle w:val="ListParagraph"/>
        <w:spacing w:line="276" w:lineRule="auto"/>
        <w:ind w:left="709"/>
        <w:jc w:val="both"/>
        <w:textAlignment w:val="baseline"/>
        <w:rPr>
          <w:rFonts w:eastAsia="Times New Roman"/>
          <w:b/>
          <w:color w:val="000000"/>
          <w:spacing w:val="14"/>
          <w:sz w:val="24"/>
          <w:szCs w:val="24"/>
        </w:rPr>
      </w:pPr>
    </w:p>
    <w:p w14:paraId="48CDD162" w14:textId="77777777" w:rsidR="00C22F23" w:rsidRPr="00C22F23" w:rsidRDefault="00C22F23" w:rsidP="00C22F23">
      <w:pPr>
        <w:pStyle w:val="Heading3"/>
        <w:spacing w:before="120" w:after="120"/>
        <w:ind w:firstLine="0"/>
        <w:jc w:val="both"/>
        <w:rPr>
          <w:rFonts w:ascii="Calibri" w:hAnsi="Calibri"/>
          <w:i/>
          <w:iCs/>
          <w:color w:val="auto"/>
          <w:sz w:val="22"/>
        </w:rPr>
      </w:pPr>
      <w:bookmarkStart w:id="5" w:name="_Toc39217282"/>
      <w:r w:rsidRPr="00C22F23">
        <w:rPr>
          <w:i/>
          <w:iCs/>
          <w:color w:val="auto"/>
          <w:sz w:val="22"/>
        </w:rPr>
        <w:lastRenderedPageBreak/>
        <w:t>No development shall take place until a written scheme of investigation (WSI) has been submitted to and approved by the local planning authority in writing.  No groundworks shall take place other than in accordance with the agreed WSI, which shall include the statement of significance and research objectives, and</w:t>
      </w:r>
      <w:bookmarkEnd w:id="5"/>
      <w:r w:rsidRPr="00C22F23">
        <w:rPr>
          <w:i/>
          <w:iCs/>
          <w:color w:val="auto"/>
          <w:sz w:val="22"/>
        </w:rPr>
        <w:t xml:space="preserve"> </w:t>
      </w:r>
    </w:p>
    <w:p w14:paraId="1AE687FA" w14:textId="77777777" w:rsidR="00C22F23" w:rsidRPr="00C22F23" w:rsidRDefault="00C22F23" w:rsidP="00C22F23">
      <w:pPr>
        <w:pStyle w:val="Heading3"/>
        <w:spacing w:before="120" w:after="120"/>
        <w:ind w:firstLine="0"/>
        <w:jc w:val="both"/>
        <w:rPr>
          <w:i/>
          <w:iCs/>
          <w:color w:val="auto"/>
          <w:sz w:val="22"/>
        </w:rPr>
      </w:pPr>
      <w:bookmarkStart w:id="6" w:name="_Toc39217283"/>
      <w:r w:rsidRPr="00C22F23">
        <w:rPr>
          <w:i/>
          <w:iCs/>
          <w:color w:val="auto"/>
          <w:sz w:val="22"/>
        </w:rPr>
        <w:t>A.  The programme and methodology of site investigation and recording and the nomination of a competent person(s) or organisation to undertake the agreed works</w:t>
      </w:r>
      <w:bookmarkEnd w:id="6"/>
      <w:r w:rsidRPr="00C22F23">
        <w:rPr>
          <w:i/>
          <w:iCs/>
          <w:color w:val="auto"/>
          <w:sz w:val="22"/>
        </w:rPr>
        <w:t xml:space="preserve"> </w:t>
      </w:r>
    </w:p>
    <w:p w14:paraId="18FB4077" w14:textId="77777777" w:rsidR="00C22F23" w:rsidRPr="00C22F23" w:rsidRDefault="00C22F23" w:rsidP="00C22F23">
      <w:pPr>
        <w:pStyle w:val="Heading3"/>
        <w:spacing w:before="120" w:after="120"/>
        <w:ind w:firstLine="0"/>
        <w:jc w:val="both"/>
        <w:rPr>
          <w:i/>
          <w:iCs/>
          <w:color w:val="auto"/>
          <w:sz w:val="22"/>
        </w:rPr>
      </w:pPr>
      <w:bookmarkStart w:id="7" w:name="_Toc39217284"/>
      <w:r w:rsidRPr="00C22F23">
        <w:rPr>
          <w:i/>
          <w:iCs/>
          <w:color w:val="auto"/>
          <w:sz w:val="22"/>
        </w:rPr>
        <w:t>B.  Details of a programme for delivering related positive public benefits</w:t>
      </w:r>
      <w:bookmarkEnd w:id="7"/>
    </w:p>
    <w:p w14:paraId="79E4C302" w14:textId="77777777" w:rsidR="00C22F23" w:rsidRPr="00C22F23" w:rsidRDefault="00C22F23" w:rsidP="00C22F23">
      <w:pPr>
        <w:pStyle w:val="Heading3"/>
        <w:spacing w:before="120" w:after="120"/>
        <w:ind w:firstLine="0"/>
        <w:jc w:val="both"/>
        <w:rPr>
          <w:i/>
          <w:iCs/>
          <w:color w:val="auto"/>
          <w:sz w:val="22"/>
        </w:rPr>
      </w:pPr>
      <w:bookmarkStart w:id="8" w:name="_Toc39217285"/>
      <w:r w:rsidRPr="00C22F23">
        <w:rPr>
          <w:i/>
          <w:iCs/>
          <w:color w:val="auto"/>
          <w:sz w:val="22"/>
        </w:rPr>
        <w:t>C. A method statement for protecting buried remains outside the basement footprint during the construction period</w:t>
      </w:r>
      <w:bookmarkEnd w:id="8"/>
    </w:p>
    <w:p w14:paraId="581A2341" w14:textId="77777777" w:rsidR="00C22F23" w:rsidRPr="00C22F23" w:rsidRDefault="00C22F23" w:rsidP="00C22F23">
      <w:pPr>
        <w:pStyle w:val="Heading3"/>
        <w:spacing w:before="120" w:after="120"/>
        <w:ind w:firstLine="0"/>
        <w:jc w:val="both"/>
        <w:rPr>
          <w:i/>
          <w:iCs/>
          <w:color w:val="auto"/>
          <w:sz w:val="22"/>
        </w:rPr>
      </w:pPr>
      <w:bookmarkStart w:id="9" w:name="_Toc39217286"/>
      <w:r w:rsidRPr="00C22F23">
        <w:rPr>
          <w:i/>
          <w:iCs/>
          <w:color w:val="auto"/>
          <w:sz w:val="22"/>
        </w:rPr>
        <w:t>D. The programme for post-investigation assessment and subsequent analysis, publication &amp; dissemination and deposition of resulting material. This part of the condition shall not be discharged until these elements have been fulfilled in accordance with the programme set out in the WSI</w:t>
      </w:r>
      <w:bookmarkEnd w:id="9"/>
    </w:p>
    <w:p w14:paraId="7DC75471" w14:textId="77777777" w:rsidR="00C22F23" w:rsidRPr="00C22F23" w:rsidRDefault="00C22F23" w:rsidP="00C22F23">
      <w:pPr>
        <w:pStyle w:val="Heading3"/>
        <w:spacing w:before="120" w:after="120"/>
        <w:ind w:firstLine="0"/>
        <w:jc w:val="both"/>
        <w:rPr>
          <w:i/>
          <w:iCs/>
          <w:color w:val="auto"/>
          <w:sz w:val="22"/>
          <w:u w:val="single"/>
        </w:rPr>
      </w:pPr>
      <w:bookmarkStart w:id="10" w:name="_Toc39217287"/>
      <w:bookmarkStart w:id="11" w:name="_Toc39217288"/>
      <w:bookmarkEnd w:id="10"/>
      <w:r w:rsidRPr="00C22F23">
        <w:rPr>
          <w:i/>
          <w:iCs/>
          <w:color w:val="auto"/>
          <w:sz w:val="22"/>
          <w:u w:val="single"/>
        </w:rPr>
        <w:t>Informative</w:t>
      </w:r>
      <w:bookmarkEnd w:id="11"/>
      <w:r w:rsidRPr="00C22F23">
        <w:rPr>
          <w:i/>
          <w:iCs/>
          <w:color w:val="auto"/>
          <w:sz w:val="22"/>
          <w:u w:val="single"/>
        </w:rPr>
        <w:t>        </w:t>
      </w:r>
      <w:bookmarkStart w:id="12" w:name="_Toc39217289"/>
    </w:p>
    <w:p w14:paraId="62FF7F77" w14:textId="77777777" w:rsidR="00C22F23" w:rsidRPr="00C22F23" w:rsidRDefault="00C22F23" w:rsidP="00C22F23">
      <w:pPr>
        <w:pStyle w:val="Heading3"/>
        <w:spacing w:before="120" w:after="120"/>
        <w:ind w:firstLine="0"/>
        <w:jc w:val="both"/>
        <w:rPr>
          <w:i/>
          <w:iCs/>
          <w:color w:val="auto"/>
          <w:sz w:val="22"/>
        </w:rPr>
      </w:pPr>
      <w:r w:rsidRPr="00C22F23">
        <w:rPr>
          <w:i/>
          <w:iCs/>
          <w:color w:val="auto"/>
          <w:sz w:val="22"/>
        </w:rPr>
        <w:t>The written scheme of investigation will need to be prepared and implemented by a suitably professionally accredited archaeological practice in accordance with Historic England’s Guidelines for Archaeological Projects in Greater London. It should include a contingency arrangement in case of the unexpected discovery of archaeological remains of national significance. This condition is exempt from deemed discharge under schedule 6 of The Town and Country Planning (Development Management Procedure) (England) Order 2015.</w:t>
      </w:r>
      <w:bookmarkEnd w:id="12"/>
    </w:p>
    <w:p w14:paraId="3DA9257A" w14:textId="77777777" w:rsidR="00C22F23" w:rsidRPr="00646333" w:rsidRDefault="00C22F23" w:rsidP="00C22F23">
      <w:pPr>
        <w:pStyle w:val="ListParagraph"/>
        <w:spacing w:line="276" w:lineRule="auto"/>
        <w:ind w:left="709"/>
        <w:jc w:val="both"/>
        <w:textAlignment w:val="baseline"/>
        <w:rPr>
          <w:rFonts w:eastAsia="Times New Roman"/>
          <w:b/>
          <w:color w:val="000000"/>
          <w:spacing w:val="14"/>
          <w:sz w:val="24"/>
          <w:szCs w:val="24"/>
        </w:rPr>
      </w:pPr>
    </w:p>
    <w:p w14:paraId="75550897" w14:textId="77777777" w:rsidR="00646333" w:rsidRPr="00C00391" w:rsidRDefault="00646333" w:rsidP="005E5F23">
      <w:pPr>
        <w:pStyle w:val="ListParagraph"/>
        <w:spacing w:line="276" w:lineRule="auto"/>
        <w:ind w:left="709"/>
        <w:jc w:val="both"/>
        <w:textAlignment w:val="baseline"/>
        <w:rPr>
          <w:rFonts w:eastAsia="Times New Roman"/>
          <w:b/>
          <w:color w:val="000000"/>
          <w:spacing w:val="14"/>
          <w:sz w:val="24"/>
          <w:szCs w:val="24"/>
        </w:rPr>
      </w:pPr>
    </w:p>
    <w:p w14:paraId="4B2A212A" w14:textId="45875438" w:rsidR="00C00391" w:rsidRDefault="00C00391" w:rsidP="00C00391">
      <w:pPr>
        <w:pStyle w:val="ListParagraph"/>
        <w:spacing w:line="276" w:lineRule="auto"/>
        <w:ind w:left="709"/>
        <w:jc w:val="both"/>
        <w:textAlignment w:val="baseline"/>
        <w:rPr>
          <w:rFonts w:eastAsia="Times New Roman"/>
          <w:b/>
          <w:color w:val="000000"/>
          <w:spacing w:val="14"/>
          <w:sz w:val="24"/>
          <w:szCs w:val="24"/>
        </w:rPr>
      </w:pPr>
    </w:p>
    <w:p w14:paraId="17BD4926" w14:textId="448D9C23" w:rsidR="00C77A9F" w:rsidRPr="00E528F0" w:rsidRDefault="00C77A9F" w:rsidP="00B75B1A">
      <w:pPr>
        <w:pStyle w:val="ListParagraph"/>
        <w:numPr>
          <w:ilvl w:val="1"/>
          <w:numId w:val="1"/>
        </w:numPr>
        <w:tabs>
          <w:tab w:val="decimal" w:pos="144"/>
          <w:tab w:val="left" w:pos="709"/>
        </w:tabs>
        <w:ind w:left="709" w:hanging="709"/>
        <w:jc w:val="both"/>
        <w:textAlignment w:val="baseline"/>
        <w:rPr>
          <w:sz w:val="24"/>
          <w:szCs w:val="24"/>
        </w:rPr>
        <w:sectPr w:rsidR="00C77A9F" w:rsidRPr="00E528F0">
          <w:pgSz w:w="11909" w:h="16838"/>
          <w:pgMar w:top="1440" w:right="1396" w:bottom="836" w:left="1435" w:header="720" w:footer="720" w:gutter="0"/>
          <w:cols w:space="720"/>
        </w:sectPr>
      </w:pPr>
    </w:p>
    <w:p w14:paraId="53ABEB7A" w14:textId="77777777" w:rsidR="00C77A9F" w:rsidRPr="00E528F0" w:rsidRDefault="00C77A9F" w:rsidP="00C77A9F">
      <w:pPr>
        <w:tabs>
          <w:tab w:val="left" w:pos="-142"/>
        </w:tabs>
        <w:textAlignment w:val="baseline"/>
        <w:rPr>
          <w:rFonts w:eastAsia="Times New Roman"/>
          <w:b/>
          <w:color w:val="000000"/>
          <w:spacing w:val="8"/>
          <w:sz w:val="24"/>
          <w:szCs w:val="24"/>
        </w:rPr>
      </w:pPr>
    </w:p>
    <w:p w14:paraId="57E7F5C3" w14:textId="77777777" w:rsidR="00C77A9F" w:rsidRPr="00E528F0" w:rsidRDefault="00C77A9F" w:rsidP="00C77A9F">
      <w:pPr>
        <w:textAlignment w:val="baseline"/>
        <w:rPr>
          <w:rFonts w:eastAsia="Times New Roman"/>
          <w:b/>
          <w:color w:val="000000"/>
          <w:spacing w:val="12"/>
          <w:sz w:val="24"/>
          <w:szCs w:val="24"/>
        </w:rPr>
      </w:pPr>
    </w:p>
    <w:p w14:paraId="78CC11F4" w14:textId="75CEAD15" w:rsidR="00C77A9F" w:rsidRPr="00E528F0" w:rsidRDefault="00C77A9F" w:rsidP="00B75B1A">
      <w:pPr>
        <w:pStyle w:val="ListParagraph"/>
        <w:numPr>
          <w:ilvl w:val="0"/>
          <w:numId w:val="1"/>
        </w:numPr>
        <w:ind w:left="567" w:hanging="709"/>
        <w:textAlignment w:val="baseline"/>
        <w:rPr>
          <w:rStyle w:val="Heading2Char"/>
          <w:rFonts w:ascii="Times New Roman" w:hAnsi="Times New Roman" w:cs="Times New Roman"/>
          <w:b/>
          <w:color w:val="000000" w:themeColor="text1"/>
          <w:sz w:val="24"/>
          <w:szCs w:val="24"/>
        </w:rPr>
      </w:pPr>
      <w:r w:rsidRPr="00E528F0">
        <w:rPr>
          <w:rStyle w:val="Heading2Char"/>
          <w:rFonts w:ascii="Times New Roman" w:hAnsi="Times New Roman" w:cs="Times New Roman"/>
          <w:b/>
          <w:noProof/>
          <w:color w:val="000000" w:themeColor="text1"/>
          <w:sz w:val="24"/>
          <w:szCs w:val="24"/>
          <w:lang w:val="en-GB" w:eastAsia="en-GB"/>
        </w:rPr>
        <mc:AlternateContent>
          <mc:Choice Requires="wps">
            <w:drawing>
              <wp:anchor distT="0" distB="0" distL="0" distR="0" simplePos="0" relativeHeight="251659264" behindDoc="1" locked="0" layoutInCell="1" allowOverlap="1" wp14:anchorId="05A2127C" wp14:editId="35ABC3FD">
                <wp:simplePos x="0" y="0"/>
                <wp:positionH relativeFrom="page">
                  <wp:posOffset>3655695</wp:posOffset>
                </wp:positionH>
                <wp:positionV relativeFrom="page">
                  <wp:posOffset>9909810</wp:posOffset>
                </wp:positionV>
                <wp:extent cx="250825" cy="165100"/>
                <wp:effectExtent l="0" t="3810" r="0" b="254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34F06" w14:textId="77777777" w:rsidR="00E7447C" w:rsidRDefault="00E7447C" w:rsidP="00C77A9F">
                            <w:pPr>
                              <w:spacing w:before="1" w:line="247" w:lineRule="exact"/>
                              <w:textAlignment w:val="baseline"/>
                              <w:rPr>
                                <w:rFonts w:ascii="Courier New" w:eastAsia="Courier New" w:hAnsi="Courier New"/>
                                <w:color w:val="000000"/>
                                <w:spacing w:val="-3"/>
                                <w:sz w:val="23"/>
                              </w:rPr>
                            </w:pPr>
                            <w:r>
                              <w:rPr>
                                <w:rFonts w:ascii="Courier New" w:eastAsia="Courier New" w:hAnsi="Courier New"/>
                                <w:color w:val="000000"/>
                                <w:spacing w:val="-3"/>
                                <w:sz w:val="23"/>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2127C" id="_x0000_t202" coordsize="21600,21600" o:spt="202" path="m,l,21600r21600,l21600,xe">
                <v:stroke joinstyle="miter"/>
                <v:path gradientshapeok="t" o:connecttype="rect"/>
              </v:shapetype>
              <v:shape id="Text Box 28" o:spid="_x0000_s1026" type="#_x0000_t202" style="position:absolute;left:0;text-align:left;margin-left:287.85pt;margin-top:780.3pt;width:19.75pt;height:1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" filled="f" stroked="f">
                <v:textbox inset="0,0,0,0">
                  <w:txbxContent>
                    <w:p w14:paraId="7BA34F06" w14:textId="77777777" w:rsidR="00E7447C" w:rsidRDefault="00E7447C" w:rsidP="00C77A9F">
                      <w:pPr>
                        <w:spacing w:before="1" w:line="247" w:lineRule="exact"/>
                        <w:textAlignment w:val="baseline"/>
                        <w:rPr>
                          <w:rFonts w:ascii="Courier New" w:eastAsia="Courier New" w:hAnsi="Courier New"/>
                          <w:color w:val="000000"/>
                          <w:spacing w:val="-3"/>
                          <w:sz w:val="23"/>
                        </w:rPr>
                      </w:pPr>
                      <w:r>
                        <w:rPr>
                          <w:rFonts w:ascii="Courier New" w:eastAsia="Courier New" w:hAnsi="Courier New"/>
                          <w:color w:val="000000"/>
                          <w:spacing w:val="-3"/>
                          <w:sz w:val="23"/>
                        </w:rPr>
                        <w:t>19</w:t>
                      </w:r>
                    </w:p>
                  </w:txbxContent>
                </v:textbox>
                <w10:wrap type="square" anchorx="page" anchory="page"/>
              </v:shape>
            </w:pict>
          </mc:Fallback>
        </mc:AlternateContent>
      </w:r>
      <w:r w:rsidRPr="00E528F0">
        <w:rPr>
          <w:rStyle w:val="Heading2Char"/>
          <w:rFonts w:ascii="Times New Roman" w:hAnsi="Times New Roman" w:cs="Times New Roman"/>
          <w:b/>
          <w:color w:val="000000" w:themeColor="text1"/>
          <w:sz w:val="24"/>
          <w:szCs w:val="24"/>
        </w:rPr>
        <w:t xml:space="preserve"> </w:t>
      </w:r>
      <w:bookmarkStart w:id="13" w:name="_Toc42072441"/>
      <w:r w:rsidR="006100F1">
        <w:rPr>
          <w:rStyle w:val="Heading2Char"/>
          <w:rFonts w:ascii="Times New Roman" w:hAnsi="Times New Roman" w:cs="Times New Roman"/>
          <w:b/>
          <w:color w:val="000000" w:themeColor="text1"/>
          <w:sz w:val="24"/>
          <w:szCs w:val="24"/>
        </w:rPr>
        <w:t>ARCHAEOLOGICAL M</w:t>
      </w:r>
      <w:r w:rsidR="00BA3EEC">
        <w:rPr>
          <w:rStyle w:val="Heading2Char"/>
          <w:rFonts w:ascii="Times New Roman" w:hAnsi="Times New Roman" w:cs="Times New Roman"/>
          <w:b/>
          <w:color w:val="000000" w:themeColor="text1"/>
          <w:sz w:val="24"/>
          <w:szCs w:val="24"/>
        </w:rPr>
        <w:t>ITIGATION</w:t>
      </w:r>
      <w:r w:rsidR="006100F1">
        <w:rPr>
          <w:rStyle w:val="Heading2Char"/>
          <w:rFonts w:ascii="Times New Roman" w:hAnsi="Times New Roman" w:cs="Times New Roman"/>
          <w:b/>
          <w:color w:val="000000" w:themeColor="text1"/>
          <w:sz w:val="24"/>
          <w:szCs w:val="24"/>
        </w:rPr>
        <w:t xml:space="preserve"> </w:t>
      </w:r>
      <w:bookmarkEnd w:id="13"/>
      <w:r w:rsidR="00622456">
        <w:rPr>
          <w:rStyle w:val="Heading2Char"/>
          <w:rFonts w:ascii="Times New Roman" w:hAnsi="Times New Roman" w:cs="Times New Roman"/>
          <w:b/>
          <w:color w:val="000000" w:themeColor="text1"/>
          <w:sz w:val="24"/>
          <w:szCs w:val="24"/>
        </w:rPr>
        <w:t>STRATEGY</w:t>
      </w:r>
    </w:p>
    <w:p w14:paraId="47D9AEDB" w14:textId="77777777" w:rsidR="00C77A9F" w:rsidRPr="00E528F0" w:rsidRDefault="00C77A9F" w:rsidP="00C77A9F">
      <w:pPr>
        <w:pStyle w:val="ListParagraph"/>
        <w:ind w:left="443"/>
        <w:textAlignment w:val="baseline"/>
        <w:rPr>
          <w:rFonts w:eastAsia="Times New Roman"/>
          <w:b/>
          <w:color w:val="000000"/>
          <w:spacing w:val="12"/>
          <w:sz w:val="24"/>
          <w:szCs w:val="24"/>
        </w:rPr>
      </w:pPr>
    </w:p>
    <w:p w14:paraId="3E1F82F5" w14:textId="59EFBFAD" w:rsidR="00C22F23" w:rsidRDefault="00C22F23" w:rsidP="00C22F23">
      <w:pPr>
        <w:pStyle w:val="ListParagraph"/>
        <w:numPr>
          <w:ilvl w:val="1"/>
          <w:numId w:val="1"/>
        </w:numPr>
        <w:spacing w:line="276" w:lineRule="auto"/>
        <w:ind w:left="709" w:hanging="709"/>
        <w:jc w:val="both"/>
        <w:textAlignment w:val="baseline"/>
        <w:rPr>
          <w:sz w:val="24"/>
          <w:szCs w:val="24"/>
        </w:rPr>
      </w:pPr>
      <w:r>
        <w:rPr>
          <w:sz w:val="24"/>
          <w:szCs w:val="24"/>
        </w:rPr>
        <w:t xml:space="preserve">As the first stage of satisfying the draft condition for archaeology an archaeological mitigation strategy (AMS) has been designed. The AMS was designed in consultation with GLAAS and has been subject to peer review by a panel of experts in the archaeology of Westminster. </w:t>
      </w:r>
    </w:p>
    <w:p w14:paraId="5D994569" w14:textId="77777777" w:rsidR="00C22F23" w:rsidRDefault="00C22F23" w:rsidP="00C22F23">
      <w:pPr>
        <w:pStyle w:val="ListParagraph"/>
        <w:spacing w:line="276" w:lineRule="auto"/>
        <w:ind w:left="709"/>
        <w:jc w:val="both"/>
        <w:textAlignment w:val="baseline"/>
        <w:rPr>
          <w:sz w:val="24"/>
          <w:szCs w:val="24"/>
        </w:rPr>
      </w:pPr>
    </w:p>
    <w:p w14:paraId="4D73B0D7" w14:textId="0BAB1A60" w:rsidR="00622456" w:rsidRPr="00C22F23" w:rsidRDefault="00F30DB0" w:rsidP="00C22F23">
      <w:pPr>
        <w:pStyle w:val="ListParagraph"/>
        <w:numPr>
          <w:ilvl w:val="1"/>
          <w:numId w:val="1"/>
        </w:numPr>
        <w:spacing w:line="276" w:lineRule="auto"/>
        <w:ind w:left="709" w:hanging="709"/>
        <w:jc w:val="both"/>
        <w:textAlignment w:val="baseline"/>
        <w:rPr>
          <w:sz w:val="24"/>
          <w:szCs w:val="24"/>
        </w:rPr>
      </w:pPr>
      <w:r w:rsidRPr="00C22F23">
        <w:rPr>
          <w:sz w:val="24"/>
          <w:szCs w:val="24"/>
        </w:rPr>
        <w:t xml:space="preserve">The purpose of </w:t>
      </w:r>
      <w:r w:rsidR="00622456" w:rsidRPr="00C22F23">
        <w:rPr>
          <w:sz w:val="24"/>
          <w:szCs w:val="24"/>
        </w:rPr>
        <w:t>the Archaeological M</w:t>
      </w:r>
      <w:r w:rsidR="00BA3EEC" w:rsidRPr="00C22F23">
        <w:rPr>
          <w:sz w:val="24"/>
          <w:szCs w:val="24"/>
        </w:rPr>
        <w:t>itigation</w:t>
      </w:r>
      <w:r w:rsidR="00622456" w:rsidRPr="00C22F23">
        <w:rPr>
          <w:sz w:val="24"/>
          <w:szCs w:val="24"/>
        </w:rPr>
        <w:t xml:space="preserve"> Strategy (AMS) </w:t>
      </w:r>
      <w:r w:rsidRPr="00C22F23">
        <w:rPr>
          <w:sz w:val="24"/>
          <w:szCs w:val="24"/>
        </w:rPr>
        <w:t xml:space="preserve">is to set out the strategy for the planning and delivery of a programme of archaeological mitigation within the Scheme footprint required for the delivery of construction of the Scheme. </w:t>
      </w:r>
    </w:p>
    <w:p w14:paraId="3542C26C" w14:textId="77777777" w:rsidR="00622456" w:rsidRDefault="00622456" w:rsidP="00622456">
      <w:pPr>
        <w:pStyle w:val="ListParagraph"/>
        <w:spacing w:line="276" w:lineRule="auto"/>
        <w:ind w:left="709"/>
        <w:jc w:val="both"/>
        <w:textAlignment w:val="baseline"/>
        <w:rPr>
          <w:sz w:val="24"/>
          <w:szCs w:val="24"/>
        </w:rPr>
      </w:pPr>
    </w:p>
    <w:p w14:paraId="58CE1523" w14:textId="24B09B5D" w:rsidR="00F30DB0" w:rsidRPr="00F30DB0" w:rsidRDefault="00F30DB0" w:rsidP="00F30DB0">
      <w:pPr>
        <w:pStyle w:val="ListParagraph"/>
        <w:numPr>
          <w:ilvl w:val="1"/>
          <w:numId w:val="1"/>
        </w:numPr>
        <w:spacing w:line="276" w:lineRule="auto"/>
        <w:ind w:left="709" w:hanging="709"/>
        <w:jc w:val="both"/>
        <w:textAlignment w:val="baseline"/>
        <w:rPr>
          <w:sz w:val="24"/>
          <w:szCs w:val="24"/>
        </w:rPr>
      </w:pPr>
      <w:r w:rsidRPr="00F30DB0">
        <w:rPr>
          <w:sz w:val="24"/>
          <w:szCs w:val="24"/>
        </w:rPr>
        <w:t xml:space="preserve">The archaeological mitigation will comprise a programme of investigative archaeological fieldwork with associated post excavation assessment, analysis, updated project design and final reporting and publication. It </w:t>
      </w:r>
      <w:r w:rsidR="0065605C">
        <w:rPr>
          <w:sz w:val="24"/>
          <w:szCs w:val="24"/>
        </w:rPr>
        <w:t>also outlines</w:t>
      </w:r>
      <w:r w:rsidRPr="00F30DB0">
        <w:rPr>
          <w:sz w:val="24"/>
          <w:szCs w:val="24"/>
        </w:rPr>
        <w:t xml:space="preserve"> delivery of an associated public outreach programme during the archaeological fieldwork and reporting phases.</w:t>
      </w:r>
    </w:p>
    <w:p w14:paraId="3BCA1EB9" w14:textId="77777777" w:rsidR="00F30DB0" w:rsidRPr="00F30DB0" w:rsidRDefault="00F30DB0" w:rsidP="00F30DB0">
      <w:pPr>
        <w:pStyle w:val="ListParagraph"/>
        <w:spacing w:line="276" w:lineRule="auto"/>
        <w:ind w:left="709"/>
        <w:jc w:val="both"/>
        <w:textAlignment w:val="baseline"/>
        <w:rPr>
          <w:sz w:val="24"/>
          <w:szCs w:val="24"/>
        </w:rPr>
      </w:pPr>
    </w:p>
    <w:p w14:paraId="2EE41C99" w14:textId="7805B926" w:rsidR="00F30DB0" w:rsidRPr="00F30DB0" w:rsidRDefault="00F30DB0" w:rsidP="00F30DB0">
      <w:pPr>
        <w:pStyle w:val="ListParagraph"/>
        <w:numPr>
          <w:ilvl w:val="1"/>
          <w:numId w:val="1"/>
        </w:numPr>
        <w:spacing w:line="276" w:lineRule="auto"/>
        <w:ind w:left="709" w:hanging="709"/>
        <w:jc w:val="both"/>
        <w:textAlignment w:val="baseline"/>
        <w:rPr>
          <w:sz w:val="24"/>
          <w:szCs w:val="24"/>
        </w:rPr>
      </w:pPr>
      <w:r w:rsidRPr="00F30DB0">
        <w:rPr>
          <w:sz w:val="24"/>
          <w:szCs w:val="24"/>
        </w:rPr>
        <w:t xml:space="preserve">This AMS is a high-level framework document to provide an archaeological strategy for how the archaeology within the footprint of the Scheme will be approached. Detailed methodologies for individual investigations delivered under the umbrella of the AMS will be delivered </w:t>
      </w:r>
      <w:r w:rsidR="00622456">
        <w:rPr>
          <w:sz w:val="24"/>
          <w:szCs w:val="24"/>
        </w:rPr>
        <w:t>within the</w:t>
      </w:r>
      <w:r w:rsidRPr="00F30DB0">
        <w:rPr>
          <w:sz w:val="24"/>
          <w:szCs w:val="24"/>
        </w:rPr>
        <w:t xml:space="preserve"> Written Scheme of Investigation (WSI) produced by the contracting archaeological unit(s) appointed to the works by the Client and agreed with </w:t>
      </w:r>
      <w:r w:rsidR="0065605C">
        <w:rPr>
          <w:sz w:val="24"/>
          <w:szCs w:val="24"/>
        </w:rPr>
        <w:t>GLAAS</w:t>
      </w:r>
      <w:r w:rsidRPr="00F30DB0">
        <w:rPr>
          <w:sz w:val="24"/>
          <w:szCs w:val="24"/>
        </w:rPr>
        <w:t xml:space="preserve">. </w:t>
      </w:r>
    </w:p>
    <w:p w14:paraId="3E474304" w14:textId="77777777" w:rsidR="00F30DB0" w:rsidRPr="00F30DB0" w:rsidRDefault="00F30DB0" w:rsidP="00F30DB0">
      <w:pPr>
        <w:pStyle w:val="ListParagraph"/>
        <w:rPr>
          <w:sz w:val="24"/>
          <w:szCs w:val="24"/>
        </w:rPr>
      </w:pPr>
    </w:p>
    <w:p w14:paraId="0029E989" w14:textId="5D297237" w:rsidR="00F30DB0" w:rsidRPr="00F30DB0" w:rsidRDefault="00F30DB0" w:rsidP="00F30DB0">
      <w:pPr>
        <w:pStyle w:val="ListParagraph"/>
        <w:numPr>
          <w:ilvl w:val="1"/>
          <w:numId w:val="1"/>
        </w:numPr>
        <w:spacing w:line="276" w:lineRule="auto"/>
        <w:ind w:left="709" w:hanging="709"/>
        <w:jc w:val="both"/>
        <w:textAlignment w:val="baseline"/>
        <w:rPr>
          <w:sz w:val="24"/>
          <w:szCs w:val="24"/>
        </w:rPr>
      </w:pPr>
      <w:r w:rsidRPr="00F30DB0">
        <w:rPr>
          <w:sz w:val="24"/>
          <w:szCs w:val="24"/>
        </w:rPr>
        <w:t>The AMS:</w:t>
      </w:r>
    </w:p>
    <w:p w14:paraId="62F0D8FA" w14:textId="1A0F7EAD" w:rsidR="00F30DB0" w:rsidRPr="00F30DB0" w:rsidRDefault="00F30DB0" w:rsidP="00F30DB0">
      <w:pPr>
        <w:pStyle w:val="ListBulletLast"/>
        <w:rPr>
          <w:rFonts w:ascii="Times New Roman" w:hAnsi="Times New Roman" w:cs="Times New Roman"/>
          <w:color w:val="auto"/>
          <w:sz w:val="24"/>
          <w:szCs w:val="24"/>
        </w:rPr>
      </w:pPr>
      <w:r w:rsidRPr="00F30DB0">
        <w:rPr>
          <w:rFonts w:ascii="Times New Roman" w:hAnsi="Times New Roman" w:cs="Times New Roman"/>
          <w:color w:val="auto"/>
          <w:sz w:val="24"/>
          <w:szCs w:val="24"/>
        </w:rPr>
        <w:t>describe</w:t>
      </w:r>
      <w:r w:rsidR="00622456">
        <w:rPr>
          <w:rFonts w:ascii="Times New Roman" w:hAnsi="Times New Roman" w:cs="Times New Roman"/>
          <w:color w:val="auto"/>
          <w:sz w:val="24"/>
          <w:szCs w:val="24"/>
        </w:rPr>
        <w:t>s</w:t>
      </w:r>
      <w:r w:rsidRPr="00F30DB0">
        <w:rPr>
          <w:rFonts w:ascii="Times New Roman" w:hAnsi="Times New Roman" w:cs="Times New Roman"/>
          <w:color w:val="auto"/>
          <w:sz w:val="24"/>
          <w:szCs w:val="24"/>
        </w:rPr>
        <w:t xml:space="preserve"> the archaeological background within which the Scheme is being developed; this will include reference to any relevant and appropriate archaeological research frameworks;</w:t>
      </w:r>
    </w:p>
    <w:p w14:paraId="4CC0CF1B" w14:textId="1CFA255A" w:rsidR="00F30DB0" w:rsidRPr="00F30DB0" w:rsidRDefault="00F30DB0" w:rsidP="00F30DB0">
      <w:pPr>
        <w:pStyle w:val="ListBulletLast"/>
        <w:rPr>
          <w:rFonts w:ascii="Times New Roman" w:hAnsi="Times New Roman" w:cs="Times New Roman"/>
          <w:color w:val="auto"/>
          <w:sz w:val="24"/>
          <w:szCs w:val="24"/>
        </w:rPr>
      </w:pPr>
      <w:r w:rsidRPr="00F30DB0">
        <w:rPr>
          <w:rFonts w:ascii="Times New Roman" w:hAnsi="Times New Roman" w:cs="Times New Roman"/>
          <w:color w:val="auto"/>
          <w:sz w:val="24"/>
          <w:szCs w:val="24"/>
        </w:rPr>
        <w:t>establish</w:t>
      </w:r>
      <w:r w:rsidR="00622456">
        <w:rPr>
          <w:rFonts w:ascii="Times New Roman" w:hAnsi="Times New Roman" w:cs="Times New Roman"/>
          <w:color w:val="auto"/>
          <w:sz w:val="24"/>
          <w:szCs w:val="24"/>
        </w:rPr>
        <w:t>es</w:t>
      </w:r>
      <w:r w:rsidRPr="00F30DB0">
        <w:rPr>
          <w:rFonts w:ascii="Times New Roman" w:hAnsi="Times New Roman" w:cs="Times New Roman"/>
          <w:color w:val="auto"/>
          <w:sz w:val="24"/>
          <w:szCs w:val="24"/>
        </w:rPr>
        <w:t xml:space="preserve"> the roles, responsibilities and consultative procedures required to successfully deliver the protocols established by the AMS;</w:t>
      </w:r>
    </w:p>
    <w:p w14:paraId="1BD61055" w14:textId="6F0E25A3" w:rsidR="00F30DB0" w:rsidRDefault="00F30DB0" w:rsidP="00F30DB0">
      <w:pPr>
        <w:pStyle w:val="ListBulletLast"/>
        <w:rPr>
          <w:rFonts w:ascii="Times New Roman" w:hAnsi="Times New Roman" w:cs="Times New Roman"/>
          <w:color w:val="auto"/>
          <w:sz w:val="24"/>
          <w:szCs w:val="24"/>
        </w:rPr>
      </w:pPr>
      <w:r w:rsidRPr="00F30DB0">
        <w:rPr>
          <w:rFonts w:ascii="Times New Roman" w:hAnsi="Times New Roman" w:cs="Times New Roman"/>
          <w:color w:val="auto"/>
          <w:sz w:val="24"/>
          <w:szCs w:val="24"/>
        </w:rPr>
        <w:t>describe</w:t>
      </w:r>
      <w:r w:rsidR="00622456">
        <w:rPr>
          <w:rFonts w:ascii="Times New Roman" w:hAnsi="Times New Roman" w:cs="Times New Roman"/>
          <w:color w:val="auto"/>
          <w:sz w:val="24"/>
          <w:szCs w:val="24"/>
        </w:rPr>
        <w:t>s</w:t>
      </w:r>
      <w:r w:rsidRPr="00F30DB0">
        <w:rPr>
          <w:rFonts w:ascii="Times New Roman" w:hAnsi="Times New Roman" w:cs="Times New Roman"/>
          <w:color w:val="auto"/>
          <w:sz w:val="24"/>
          <w:szCs w:val="24"/>
        </w:rPr>
        <w:t xml:space="preserve"> the engineering processes which the archaeological programme for the Scheme will be delivered alongside; </w:t>
      </w:r>
    </w:p>
    <w:p w14:paraId="0CC6C6F8" w14:textId="1F4E31FC" w:rsidR="00622456" w:rsidRPr="00F30DB0" w:rsidRDefault="00622456" w:rsidP="00F30DB0">
      <w:pPr>
        <w:pStyle w:val="ListBulletLast"/>
        <w:rPr>
          <w:rFonts w:ascii="Times New Roman" w:hAnsi="Times New Roman" w:cs="Times New Roman"/>
          <w:color w:val="auto"/>
          <w:sz w:val="24"/>
          <w:szCs w:val="24"/>
        </w:rPr>
      </w:pPr>
      <w:r>
        <w:rPr>
          <w:rFonts w:ascii="Times New Roman" w:hAnsi="Times New Roman" w:cs="Times New Roman"/>
          <w:color w:val="auto"/>
          <w:sz w:val="24"/>
          <w:szCs w:val="24"/>
        </w:rPr>
        <w:t>outlines the key research themes and objectives which will steer the archaeological programme and against which its results can be quantified;</w:t>
      </w:r>
    </w:p>
    <w:p w14:paraId="7E3D5854" w14:textId="0F02625A" w:rsidR="00F30DB0" w:rsidRPr="00F30DB0" w:rsidRDefault="00F30DB0" w:rsidP="00F30DB0">
      <w:pPr>
        <w:pStyle w:val="ListBulletLast"/>
        <w:rPr>
          <w:rFonts w:ascii="Times New Roman" w:hAnsi="Times New Roman" w:cs="Times New Roman"/>
          <w:color w:val="auto"/>
          <w:sz w:val="24"/>
          <w:szCs w:val="24"/>
        </w:rPr>
      </w:pPr>
      <w:r w:rsidRPr="00F30DB0">
        <w:rPr>
          <w:rFonts w:ascii="Times New Roman" w:hAnsi="Times New Roman" w:cs="Times New Roman"/>
          <w:color w:val="auto"/>
          <w:sz w:val="24"/>
          <w:szCs w:val="24"/>
        </w:rPr>
        <w:t>establish</w:t>
      </w:r>
      <w:r w:rsidR="00622456">
        <w:rPr>
          <w:rFonts w:ascii="Times New Roman" w:hAnsi="Times New Roman" w:cs="Times New Roman"/>
          <w:color w:val="auto"/>
          <w:sz w:val="24"/>
          <w:szCs w:val="24"/>
        </w:rPr>
        <w:t>es</w:t>
      </w:r>
      <w:r w:rsidRPr="00F30DB0">
        <w:rPr>
          <w:rFonts w:ascii="Times New Roman" w:hAnsi="Times New Roman" w:cs="Times New Roman"/>
          <w:color w:val="auto"/>
          <w:sz w:val="24"/>
          <w:szCs w:val="24"/>
        </w:rPr>
        <w:t xml:space="preserve"> the archaeological toolkit of methodologies that will be applied to achieve the objectives of the archaeological programme for the Scheme;</w:t>
      </w:r>
    </w:p>
    <w:p w14:paraId="12728B59" w14:textId="00B342DE" w:rsidR="00F30DB0" w:rsidRPr="00F30DB0" w:rsidRDefault="00F30DB0" w:rsidP="00F30DB0">
      <w:pPr>
        <w:pStyle w:val="ListBulletLast"/>
        <w:rPr>
          <w:rFonts w:ascii="Times New Roman" w:hAnsi="Times New Roman" w:cs="Times New Roman"/>
          <w:color w:val="auto"/>
          <w:sz w:val="24"/>
          <w:szCs w:val="24"/>
        </w:rPr>
      </w:pPr>
      <w:r w:rsidRPr="00F30DB0">
        <w:rPr>
          <w:rFonts w:ascii="Times New Roman" w:hAnsi="Times New Roman" w:cs="Times New Roman"/>
          <w:color w:val="auto"/>
          <w:sz w:val="24"/>
          <w:szCs w:val="24"/>
        </w:rPr>
        <w:t>establish</w:t>
      </w:r>
      <w:r w:rsidR="00622456">
        <w:rPr>
          <w:rFonts w:ascii="Times New Roman" w:hAnsi="Times New Roman" w:cs="Times New Roman"/>
          <w:color w:val="auto"/>
          <w:sz w:val="24"/>
          <w:szCs w:val="24"/>
        </w:rPr>
        <w:t>es</w:t>
      </w:r>
      <w:r w:rsidRPr="00F30DB0">
        <w:rPr>
          <w:rFonts w:ascii="Times New Roman" w:hAnsi="Times New Roman" w:cs="Times New Roman"/>
          <w:color w:val="auto"/>
          <w:sz w:val="24"/>
          <w:szCs w:val="24"/>
        </w:rPr>
        <w:t xml:space="preserve"> the post excavation, archival, reporting, publication and outreach processes that will be followed in delivering the archaeological programme for the Scheme.</w:t>
      </w:r>
    </w:p>
    <w:p w14:paraId="44E759F5" w14:textId="146E85C2" w:rsidR="00D111FB" w:rsidRPr="00F30DB0" w:rsidRDefault="00D111FB" w:rsidP="00BA3EEC">
      <w:pPr>
        <w:pStyle w:val="ListParagraph"/>
        <w:spacing w:line="276" w:lineRule="auto"/>
        <w:ind w:left="709"/>
        <w:jc w:val="both"/>
        <w:textAlignment w:val="baseline"/>
        <w:rPr>
          <w:sz w:val="24"/>
          <w:szCs w:val="24"/>
        </w:rPr>
      </w:pPr>
    </w:p>
    <w:p w14:paraId="72D991E8" w14:textId="0C71CAD1" w:rsidR="00C450EA" w:rsidRPr="001328CF" w:rsidRDefault="00C450EA" w:rsidP="00051EAB">
      <w:pPr>
        <w:pStyle w:val="ListParagraph"/>
        <w:spacing w:line="276" w:lineRule="auto"/>
        <w:ind w:left="709"/>
        <w:jc w:val="both"/>
        <w:textAlignment w:val="baseline"/>
        <w:rPr>
          <w:sz w:val="24"/>
          <w:szCs w:val="24"/>
        </w:rPr>
      </w:pPr>
    </w:p>
    <w:p w14:paraId="5AD2160C" w14:textId="77777777" w:rsidR="00C77A9F" w:rsidRPr="00E528F0" w:rsidRDefault="00C77A9F" w:rsidP="00C77A9F">
      <w:pPr>
        <w:widowControl w:val="0"/>
        <w:tabs>
          <w:tab w:val="left" w:pos="808"/>
          <w:tab w:val="left" w:pos="809"/>
        </w:tabs>
        <w:autoSpaceDE w:val="0"/>
        <w:autoSpaceDN w:val="0"/>
        <w:ind w:right="-1084"/>
        <w:jc w:val="both"/>
        <w:rPr>
          <w:rFonts w:eastAsia="Times New Roman"/>
          <w:b/>
          <w:color w:val="000000"/>
          <w:sz w:val="24"/>
          <w:szCs w:val="24"/>
        </w:rPr>
      </w:pPr>
    </w:p>
    <w:p w14:paraId="48A4BA01" w14:textId="77777777" w:rsidR="00C77A9F" w:rsidRPr="00E528F0" w:rsidRDefault="00C77A9F" w:rsidP="00C77A9F">
      <w:pPr>
        <w:widowControl w:val="0"/>
        <w:tabs>
          <w:tab w:val="left" w:pos="808"/>
          <w:tab w:val="left" w:pos="809"/>
        </w:tabs>
        <w:autoSpaceDE w:val="0"/>
        <w:autoSpaceDN w:val="0"/>
        <w:ind w:right="-1084"/>
        <w:jc w:val="both"/>
        <w:rPr>
          <w:rFonts w:eastAsia="Times New Roman"/>
          <w:b/>
          <w:color w:val="000000"/>
          <w:sz w:val="24"/>
          <w:szCs w:val="24"/>
        </w:rPr>
      </w:pPr>
    </w:p>
    <w:p w14:paraId="2A8B5FB8" w14:textId="3596DDA6" w:rsidR="00A529C5" w:rsidRPr="00B75B1A" w:rsidRDefault="00A529C5" w:rsidP="00A529C5">
      <w:pPr>
        <w:pStyle w:val="ListParagraph"/>
        <w:numPr>
          <w:ilvl w:val="0"/>
          <w:numId w:val="1"/>
        </w:numPr>
        <w:textAlignment w:val="baseline"/>
        <w:rPr>
          <w:rStyle w:val="Heading2Char"/>
          <w:rFonts w:ascii="Times New Roman" w:hAnsi="Times New Roman" w:cs="Times New Roman"/>
          <w:b/>
          <w:color w:val="000000" w:themeColor="text1"/>
          <w:sz w:val="24"/>
          <w:szCs w:val="24"/>
        </w:rPr>
      </w:pPr>
      <w:bookmarkStart w:id="14" w:name="_Toc42072442"/>
      <w:r>
        <w:rPr>
          <w:rStyle w:val="Heading2Char"/>
          <w:rFonts w:ascii="Times New Roman" w:hAnsi="Times New Roman" w:cs="Times New Roman"/>
          <w:b/>
          <w:color w:val="000000" w:themeColor="text1"/>
          <w:sz w:val="24"/>
          <w:szCs w:val="24"/>
        </w:rPr>
        <w:lastRenderedPageBreak/>
        <w:t>CONCLUSIONS</w:t>
      </w:r>
      <w:bookmarkEnd w:id="14"/>
    </w:p>
    <w:p w14:paraId="3FE3CEA4" w14:textId="77777777" w:rsidR="00A529C5" w:rsidRPr="00A8468C" w:rsidRDefault="00A529C5" w:rsidP="00A529C5">
      <w:pPr>
        <w:spacing w:line="276" w:lineRule="auto"/>
        <w:textAlignment w:val="baseline"/>
        <w:rPr>
          <w:rFonts w:eastAsia="Times New Roman"/>
          <w:b/>
          <w:color w:val="000000"/>
          <w:spacing w:val="14"/>
          <w:sz w:val="24"/>
          <w:szCs w:val="24"/>
        </w:rPr>
      </w:pPr>
    </w:p>
    <w:p w14:paraId="217B3748" w14:textId="77777777" w:rsidR="00A529C5" w:rsidRPr="00E528F0" w:rsidRDefault="00A529C5" w:rsidP="00A529C5">
      <w:pPr>
        <w:pStyle w:val="ListParagraph"/>
        <w:spacing w:line="276" w:lineRule="auto"/>
        <w:ind w:left="709"/>
        <w:jc w:val="both"/>
        <w:textAlignment w:val="baseline"/>
        <w:rPr>
          <w:rFonts w:eastAsia="Times New Roman"/>
          <w:b/>
          <w:color w:val="000000"/>
          <w:spacing w:val="14"/>
          <w:sz w:val="24"/>
          <w:szCs w:val="24"/>
        </w:rPr>
      </w:pPr>
    </w:p>
    <w:p w14:paraId="5D185578" w14:textId="5FFE4833" w:rsidR="00051EAB" w:rsidRPr="00D925F1" w:rsidRDefault="00051EAB" w:rsidP="00143F75">
      <w:pPr>
        <w:pStyle w:val="ListParagraph"/>
        <w:numPr>
          <w:ilvl w:val="1"/>
          <w:numId w:val="1"/>
        </w:numPr>
        <w:spacing w:line="276" w:lineRule="auto"/>
        <w:ind w:left="709" w:hanging="709"/>
        <w:jc w:val="both"/>
        <w:textAlignment w:val="baseline"/>
        <w:rPr>
          <w:rFonts w:eastAsia="Times New Roman"/>
          <w:b/>
          <w:color w:val="000000"/>
          <w:spacing w:val="14"/>
          <w:sz w:val="24"/>
          <w:szCs w:val="24"/>
        </w:rPr>
      </w:pPr>
      <w:r w:rsidRPr="00BC7282">
        <w:rPr>
          <w:rFonts w:eastAsia="Times New Roman"/>
          <w:color w:val="000000"/>
          <w:sz w:val="24"/>
          <w:szCs w:val="24"/>
        </w:rPr>
        <w:t xml:space="preserve">The evidence set out above, and presented in the </w:t>
      </w:r>
      <w:r w:rsidR="00622456">
        <w:rPr>
          <w:rFonts w:eastAsia="Times New Roman"/>
          <w:color w:val="000000"/>
          <w:sz w:val="24"/>
          <w:szCs w:val="24"/>
        </w:rPr>
        <w:t>Archaeological</w:t>
      </w:r>
      <w:r w:rsidRPr="00BC7282">
        <w:rPr>
          <w:rFonts w:eastAsia="Times New Roman"/>
          <w:color w:val="000000"/>
          <w:sz w:val="24"/>
          <w:szCs w:val="24"/>
        </w:rPr>
        <w:t xml:space="preserve"> Addendum, demonstrates that </w:t>
      </w:r>
      <w:r>
        <w:rPr>
          <w:rFonts w:eastAsia="Times New Roman"/>
          <w:color w:val="000000"/>
          <w:sz w:val="24"/>
          <w:szCs w:val="24"/>
        </w:rPr>
        <w:t xml:space="preserve">all matters pertaining to </w:t>
      </w:r>
      <w:r w:rsidR="00E10776">
        <w:rPr>
          <w:rFonts w:eastAsia="Times New Roman"/>
          <w:color w:val="000000"/>
          <w:sz w:val="24"/>
          <w:szCs w:val="24"/>
        </w:rPr>
        <w:t>the archaeology within the Scheme footprint</w:t>
      </w:r>
      <w:r>
        <w:rPr>
          <w:rFonts w:eastAsia="Times New Roman"/>
          <w:color w:val="000000"/>
          <w:sz w:val="24"/>
          <w:szCs w:val="24"/>
        </w:rPr>
        <w:t xml:space="preserve"> </w:t>
      </w:r>
      <w:bookmarkStart w:id="15" w:name="_Hlk35940279"/>
      <w:r>
        <w:rPr>
          <w:rFonts w:eastAsia="Times New Roman"/>
          <w:color w:val="000000"/>
          <w:sz w:val="24"/>
          <w:szCs w:val="24"/>
        </w:rPr>
        <w:t xml:space="preserve">have been dealt with to the satisfaction of </w:t>
      </w:r>
      <w:r w:rsidR="00E10776">
        <w:rPr>
          <w:rFonts w:eastAsia="Times New Roman"/>
          <w:color w:val="000000"/>
          <w:sz w:val="24"/>
          <w:szCs w:val="24"/>
        </w:rPr>
        <w:t xml:space="preserve">GLAAS, archaeological advisors to </w:t>
      </w:r>
      <w:r>
        <w:rPr>
          <w:rFonts w:eastAsia="Times New Roman"/>
          <w:color w:val="000000"/>
          <w:sz w:val="24"/>
          <w:szCs w:val="24"/>
        </w:rPr>
        <w:t>WCC</w:t>
      </w:r>
      <w:r w:rsidRPr="00BC7282">
        <w:rPr>
          <w:rFonts w:eastAsia="Times New Roman"/>
          <w:color w:val="000000"/>
          <w:sz w:val="24"/>
          <w:szCs w:val="24"/>
        </w:rPr>
        <w:t>.</w:t>
      </w:r>
      <w:r>
        <w:rPr>
          <w:rFonts w:eastAsia="Times New Roman"/>
          <w:color w:val="000000"/>
          <w:sz w:val="24"/>
          <w:szCs w:val="24"/>
        </w:rPr>
        <w:t xml:space="preserve"> </w:t>
      </w:r>
      <w:r w:rsidR="00E10776">
        <w:rPr>
          <w:rFonts w:eastAsia="Times New Roman"/>
          <w:color w:val="000000"/>
          <w:sz w:val="24"/>
          <w:szCs w:val="24"/>
        </w:rPr>
        <w:t>No</w:t>
      </w:r>
      <w:r>
        <w:rPr>
          <w:rFonts w:eastAsia="Times New Roman"/>
          <w:color w:val="000000"/>
          <w:sz w:val="24"/>
          <w:szCs w:val="24"/>
        </w:rPr>
        <w:t xml:space="preserve"> objections</w:t>
      </w:r>
      <w:r w:rsidR="00E10776">
        <w:rPr>
          <w:rFonts w:eastAsia="Times New Roman"/>
          <w:color w:val="000000"/>
          <w:sz w:val="24"/>
          <w:szCs w:val="24"/>
        </w:rPr>
        <w:t xml:space="preserve"> or representations have been raised with regard to archaeology by</w:t>
      </w:r>
      <w:r>
        <w:rPr>
          <w:rFonts w:eastAsia="Times New Roman"/>
          <w:color w:val="000000"/>
          <w:sz w:val="24"/>
          <w:szCs w:val="24"/>
        </w:rPr>
        <w:t xml:space="preserve"> Rule 6 parties</w:t>
      </w:r>
      <w:r w:rsidR="00143F75">
        <w:rPr>
          <w:rFonts w:eastAsia="Times New Roman"/>
          <w:color w:val="000000"/>
          <w:sz w:val="24"/>
          <w:szCs w:val="24"/>
        </w:rPr>
        <w:t xml:space="preserve">, and there are no reasons outstanding to deny planning permission for the proposed UKHMLC on </w:t>
      </w:r>
      <w:r w:rsidR="00E10776">
        <w:rPr>
          <w:rFonts w:eastAsia="Times New Roman"/>
          <w:color w:val="000000"/>
          <w:sz w:val="24"/>
          <w:szCs w:val="24"/>
        </w:rPr>
        <w:t>archaeological</w:t>
      </w:r>
      <w:r w:rsidR="00143F75">
        <w:rPr>
          <w:rFonts w:eastAsia="Times New Roman"/>
          <w:color w:val="000000"/>
          <w:sz w:val="24"/>
          <w:szCs w:val="24"/>
        </w:rPr>
        <w:t xml:space="preserve"> grounds</w:t>
      </w:r>
      <w:bookmarkEnd w:id="15"/>
      <w:r w:rsidR="00143F75">
        <w:rPr>
          <w:rFonts w:eastAsia="Times New Roman"/>
          <w:color w:val="000000"/>
          <w:sz w:val="24"/>
          <w:szCs w:val="24"/>
        </w:rPr>
        <w:t>.</w:t>
      </w:r>
    </w:p>
    <w:p w14:paraId="3BA87899" w14:textId="77777777" w:rsidR="00A529C5" w:rsidRPr="00D925F1" w:rsidRDefault="00A529C5" w:rsidP="00A529C5">
      <w:pPr>
        <w:pStyle w:val="ListParagraph"/>
        <w:spacing w:line="276" w:lineRule="auto"/>
        <w:ind w:left="709"/>
        <w:jc w:val="both"/>
        <w:textAlignment w:val="baseline"/>
        <w:rPr>
          <w:rFonts w:eastAsia="Times New Roman"/>
          <w:b/>
          <w:color w:val="000000"/>
          <w:spacing w:val="14"/>
          <w:sz w:val="24"/>
          <w:szCs w:val="24"/>
        </w:rPr>
      </w:pPr>
    </w:p>
    <w:p w14:paraId="4764AB89" w14:textId="77777777" w:rsidR="000960B3" w:rsidRPr="00A529C5" w:rsidRDefault="000960B3" w:rsidP="00A529C5">
      <w:pPr>
        <w:tabs>
          <w:tab w:val="left" w:pos="709"/>
          <w:tab w:val="decimal" w:pos="993"/>
        </w:tabs>
        <w:jc w:val="both"/>
        <w:textAlignment w:val="baseline"/>
        <w:rPr>
          <w:rFonts w:eastAsia="Times New Roman"/>
          <w:color w:val="000000"/>
          <w:sz w:val="24"/>
          <w:szCs w:val="24"/>
        </w:rPr>
      </w:pPr>
    </w:p>
    <w:sectPr w:rsidR="000960B3" w:rsidRPr="00A529C5" w:rsidSect="00C77A9F">
      <w:pgSz w:w="11909" w:h="16838"/>
      <w:pgMar w:top="1440" w:right="1409" w:bottom="836" w:left="1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179ED" w14:textId="77777777" w:rsidR="003953D5" w:rsidRDefault="003953D5">
      <w:r>
        <w:separator/>
      </w:r>
    </w:p>
  </w:endnote>
  <w:endnote w:type="continuationSeparator" w:id="0">
    <w:p w14:paraId="43CFFAC1" w14:textId="77777777" w:rsidR="003953D5" w:rsidRDefault="00395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ESRI NIMA VMAP1&amp;2 PT">
    <w:panose1 w:val="020005090000000200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4162036"/>
      <w:docPartObj>
        <w:docPartGallery w:val="Page Numbers (Bottom of Page)"/>
        <w:docPartUnique/>
      </w:docPartObj>
    </w:sdtPr>
    <w:sdtEndPr>
      <w:rPr>
        <w:rFonts w:asciiTheme="minorHAnsi" w:hAnsiTheme="minorHAnsi" w:cstheme="minorHAnsi"/>
        <w:noProof/>
      </w:rPr>
    </w:sdtEndPr>
    <w:sdtContent>
      <w:p w14:paraId="198A8972" w14:textId="36555035" w:rsidR="00E7447C" w:rsidRPr="00C173A2" w:rsidRDefault="00E7447C">
        <w:pPr>
          <w:pStyle w:val="Footer"/>
          <w:jc w:val="center"/>
          <w:rPr>
            <w:rFonts w:asciiTheme="minorHAnsi" w:hAnsiTheme="minorHAnsi" w:cstheme="minorHAnsi"/>
          </w:rPr>
        </w:pPr>
        <w:r w:rsidRPr="00C173A2">
          <w:rPr>
            <w:rFonts w:asciiTheme="minorHAnsi" w:hAnsiTheme="minorHAnsi" w:cstheme="minorHAnsi"/>
          </w:rPr>
          <w:fldChar w:fldCharType="begin"/>
        </w:r>
        <w:r w:rsidRPr="00C173A2">
          <w:rPr>
            <w:rFonts w:asciiTheme="minorHAnsi" w:hAnsiTheme="minorHAnsi" w:cstheme="minorHAnsi"/>
          </w:rPr>
          <w:instrText xml:space="preserve"> PAGE   \* MERGEFORMAT </w:instrText>
        </w:r>
        <w:r w:rsidRPr="00C173A2">
          <w:rPr>
            <w:rFonts w:asciiTheme="minorHAnsi" w:hAnsiTheme="minorHAnsi" w:cstheme="minorHAnsi"/>
          </w:rPr>
          <w:fldChar w:fldCharType="separate"/>
        </w:r>
        <w:r w:rsidR="0050582D">
          <w:rPr>
            <w:rFonts w:asciiTheme="minorHAnsi" w:hAnsiTheme="minorHAnsi" w:cstheme="minorHAnsi"/>
            <w:noProof/>
          </w:rPr>
          <w:t>1</w:t>
        </w:r>
        <w:r w:rsidRPr="00C173A2">
          <w:rPr>
            <w:rFonts w:asciiTheme="minorHAnsi" w:hAnsiTheme="minorHAnsi" w:cstheme="minorHAnsi"/>
            <w:noProof/>
          </w:rPr>
          <w:fldChar w:fldCharType="end"/>
        </w:r>
      </w:p>
    </w:sdtContent>
  </w:sdt>
  <w:p w14:paraId="72C7874B" w14:textId="77777777" w:rsidR="00E7447C" w:rsidRDefault="00E74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AA46B" w14:textId="77777777" w:rsidR="003953D5" w:rsidRDefault="003953D5">
      <w:r>
        <w:separator/>
      </w:r>
    </w:p>
  </w:footnote>
  <w:footnote w:type="continuationSeparator" w:id="0">
    <w:p w14:paraId="1E660DA5" w14:textId="77777777" w:rsidR="003953D5" w:rsidRDefault="00395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9ED86D48"/>
    <w:name w:val="List Bullet 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4A3115E"/>
    <w:multiLevelType w:val="hybridMultilevel"/>
    <w:tmpl w:val="81FE5F8C"/>
    <w:lvl w:ilvl="0" w:tplc="7130984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6767A9B"/>
    <w:multiLevelType w:val="hybridMultilevel"/>
    <w:tmpl w:val="DDEC2734"/>
    <w:lvl w:ilvl="0" w:tplc="FE34A622">
      <w:start w:val="1"/>
      <w:numFmt w:val="lowerRoman"/>
      <w:lvlText w:val="%1)"/>
      <w:lvlJc w:val="left"/>
      <w:pPr>
        <w:ind w:left="1287" w:hanging="72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6F22552"/>
    <w:multiLevelType w:val="multilevel"/>
    <w:tmpl w:val="DFB01E4C"/>
    <w:lvl w:ilvl="0">
      <w:start w:val="7"/>
      <w:numFmt w:val="decimal"/>
      <w:lvlText w:val="%1"/>
      <w:lvlJc w:val="left"/>
      <w:pPr>
        <w:ind w:left="420" w:hanging="420"/>
      </w:pPr>
      <w:rPr>
        <w:rFonts w:hint="default"/>
      </w:rPr>
    </w:lvl>
    <w:lvl w:ilvl="1">
      <w:start w:val="5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6658B0"/>
    <w:multiLevelType w:val="multilevel"/>
    <w:tmpl w:val="2F4270B8"/>
    <w:name w:val="Restart"/>
    <w:styleLink w:val="NumberingMain"/>
    <w:lvl w:ilvl="0">
      <w:start w:val="1"/>
      <w:numFmt w:val="none"/>
      <w:suff w:val="nothing"/>
      <w:lvlText w:val="%1"/>
      <w:lvlJc w:val="left"/>
      <w:pPr>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b w:val="0"/>
        <w:i w:val="0"/>
      </w:rPr>
    </w:lvl>
    <w:lvl w:ilvl="3">
      <w:start w:val="1"/>
      <w:numFmt w:val="lowerLetter"/>
      <w:lvlText w:val="(%4)"/>
      <w:lvlJc w:val="left"/>
      <w:pPr>
        <w:tabs>
          <w:tab w:val="num" w:pos="1440"/>
        </w:tabs>
        <w:ind w:left="1440" w:hanging="720"/>
      </w:pPr>
      <w:rPr>
        <w:rFonts w:hint="default"/>
        <w:b w:val="0"/>
        <w:bCs w:val="0"/>
        <w:i w:val="0"/>
        <w:iCs w:val="0"/>
      </w:rPr>
    </w:lvl>
    <w:lvl w:ilvl="4">
      <w:start w:val="1"/>
      <w:numFmt w:val="lowerRoman"/>
      <w:lvlText w:val="(%5)"/>
      <w:lvlJc w:val="left"/>
      <w:pPr>
        <w:tabs>
          <w:tab w:val="num" w:pos="2160"/>
        </w:tabs>
        <w:ind w:left="2160" w:hanging="720"/>
      </w:pPr>
      <w:rPr>
        <w:rFonts w:hint="default"/>
        <w:b w:val="0"/>
        <w:bCs w:val="0"/>
        <w:i w:val="0"/>
        <w:iCs w:val="0"/>
      </w:rPr>
    </w:lvl>
    <w:lvl w:ilvl="5">
      <w:start w:val="1"/>
      <w:numFmt w:val="upperLetter"/>
      <w:lvlText w:val="(%6)"/>
      <w:lvlJc w:val="left"/>
      <w:pPr>
        <w:tabs>
          <w:tab w:val="num" w:pos="2880"/>
        </w:tabs>
        <w:ind w:left="2880" w:hanging="720"/>
      </w:pPr>
      <w:rPr>
        <w:rFonts w:hint="default"/>
        <w:b w:val="0"/>
        <w:i w:val="0"/>
      </w:rPr>
    </w:lvl>
    <w:lvl w:ilvl="6">
      <w:start w:val="1"/>
      <w:numFmt w:val="upperRoman"/>
      <w:lvlText w:val="(%7)"/>
      <w:lvlJc w:val="left"/>
      <w:pPr>
        <w:tabs>
          <w:tab w:val="num" w:pos="3600"/>
        </w:tabs>
        <w:ind w:left="3600" w:hanging="720"/>
      </w:pPr>
      <w:rPr>
        <w:rFonts w:hint="default"/>
      </w:rPr>
    </w:lvl>
    <w:lvl w:ilvl="7">
      <w:start w:val="1"/>
      <w:numFmt w:val="none"/>
      <w:lvlText w:val=""/>
      <w:lvlJc w:val="left"/>
      <w:pPr>
        <w:tabs>
          <w:tab w:val="num" w:pos="4321"/>
        </w:tabs>
        <w:ind w:left="4321" w:hanging="721"/>
      </w:pPr>
      <w:rPr>
        <w:rFonts w:hint="default"/>
      </w:rPr>
    </w:lvl>
    <w:lvl w:ilvl="8">
      <w:start w:val="1"/>
      <w:numFmt w:val="none"/>
      <w:lvlText w:val=""/>
      <w:lvlJc w:val="left"/>
      <w:pPr>
        <w:tabs>
          <w:tab w:val="num" w:pos="5041"/>
        </w:tabs>
        <w:ind w:left="5041" w:hanging="720"/>
      </w:pPr>
      <w:rPr>
        <w:rFonts w:hint="default"/>
      </w:rPr>
    </w:lvl>
  </w:abstractNum>
  <w:abstractNum w:abstractNumId="5" w15:restartNumberingAfterBreak="0">
    <w:nsid w:val="1049746A"/>
    <w:multiLevelType w:val="hybridMultilevel"/>
    <w:tmpl w:val="961E9F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D4259"/>
    <w:multiLevelType w:val="hybridMultilevel"/>
    <w:tmpl w:val="BC00F046"/>
    <w:lvl w:ilvl="0" w:tplc="38D015E2">
      <w:start w:val="1"/>
      <w:numFmt w:val="bullet"/>
      <w:lvlText w:val="-"/>
      <w:lvlJc w:val="left"/>
      <w:pPr>
        <w:ind w:left="803" w:hanging="360"/>
      </w:pPr>
      <w:rPr>
        <w:rFonts w:ascii="Times New Roman" w:eastAsia="PMingLiU" w:hAnsi="Times New Roman" w:cs="Times New Roman" w:hint="default"/>
        <w:b w:val="0"/>
        <w:color w:val="auto"/>
      </w:rPr>
    </w:lvl>
    <w:lvl w:ilvl="1" w:tplc="08090003">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7" w15:restartNumberingAfterBreak="0">
    <w:nsid w:val="1C5F29CB"/>
    <w:multiLevelType w:val="multilevel"/>
    <w:tmpl w:val="24368DDA"/>
    <w:lvl w:ilvl="0">
      <w:start w:val="1"/>
      <w:numFmt w:val="decimal"/>
      <w:lvlText w:val="%1.0"/>
      <w:lvlJc w:val="left"/>
      <w:pPr>
        <w:ind w:left="720" w:hanging="720"/>
      </w:pPr>
      <w:rPr>
        <w:rFonts w:hint="default"/>
        <w:b/>
        <w:sz w:val="24"/>
        <w:szCs w:val="24"/>
      </w:rPr>
    </w:lvl>
    <w:lvl w:ilvl="1">
      <w:start w:val="1"/>
      <w:numFmt w:val="decimal"/>
      <w:isLgl/>
      <w:lvlText w:val="%1.%2"/>
      <w:lvlJc w:val="left"/>
      <w:pPr>
        <w:ind w:left="720" w:hanging="720"/>
      </w:pPr>
      <w:rPr>
        <w:rFonts w:ascii="Times New Roman" w:hAnsi="Times New Roman" w:cs="Times New Roman"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D24353C"/>
    <w:multiLevelType w:val="hybridMultilevel"/>
    <w:tmpl w:val="656C7890"/>
    <w:lvl w:ilvl="0" w:tplc="184ED720">
      <w:start w:val="1"/>
      <w:numFmt w:val="decimal"/>
      <w:lvlText w:val="%1."/>
      <w:lvlJc w:val="left"/>
      <w:pPr>
        <w:ind w:left="3406" w:hanging="570"/>
      </w:pPr>
      <w:rPr>
        <w:rFonts w:hint="default"/>
      </w:rPr>
    </w:lvl>
    <w:lvl w:ilvl="1" w:tplc="08090019" w:tentative="1">
      <w:start w:val="1"/>
      <w:numFmt w:val="lowerLetter"/>
      <w:lvlText w:val="%2."/>
      <w:lvlJc w:val="left"/>
      <w:pPr>
        <w:ind w:left="3916" w:hanging="360"/>
      </w:pPr>
    </w:lvl>
    <w:lvl w:ilvl="2" w:tplc="0809001B" w:tentative="1">
      <w:start w:val="1"/>
      <w:numFmt w:val="lowerRoman"/>
      <w:lvlText w:val="%3."/>
      <w:lvlJc w:val="right"/>
      <w:pPr>
        <w:ind w:left="4636" w:hanging="180"/>
      </w:pPr>
    </w:lvl>
    <w:lvl w:ilvl="3" w:tplc="0809000F" w:tentative="1">
      <w:start w:val="1"/>
      <w:numFmt w:val="decimal"/>
      <w:lvlText w:val="%4."/>
      <w:lvlJc w:val="left"/>
      <w:pPr>
        <w:ind w:left="5356" w:hanging="360"/>
      </w:pPr>
    </w:lvl>
    <w:lvl w:ilvl="4" w:tplc="08090019" w:tentative="1">
      <w:start w:val="1"/>
      <w:numFmt w:val="lowerLetter"/>
      <w:lvlText w:val="%5."/>
      <w:lvlJc w:val="left"/>
      <w:pPr>
        <w:ind w:left="6076" w:hanging="360"/>
      </w:pPr>
    </w:lvl>
    <w:lvl w:ilvl="5" w:tplc="0809001B" w:tentative="1">
      <w:start w:val="1"/>
      <w:numFmt w:val="lowerRoman"/>
      <w:lvlText w:val="%6."/>
      <w:lvlJc w:val="right"/>
      <w:pPr>
        <w:ind w:left="6796" w:hanging="180"/>
      </w:pPr>
    </w:lvl>
    <w:lvl w:ilvl="6" w:tplc="0809000F" w:tentative="1">
      <w:start w:val="1"/>
      <w:numFmt w:val="decimal"/>
      <w:lvlText w:val="%7."/>
      <w:lvlJc w:val="left"/>
      <w:pPr>
        <w:ind w:left="7516" w:hanging="360"/>
      </w:pPr>
    </w:lvl>
    <w:lvl w:ilvl="7" w:tplc="08090019" w:tentative="1">
      <w:start w:val="1"/>
      <w:numFmt w:val="lowerLetter"/>
      <w:lvlText w:val="%8."/>
      <w:lvlJc w:val="left"/>
      <w:pPr>
        <w:ind w:left="8236" w:hanging="360"/>
      </w:pPr>
    </w:lvl>
    <w:lvl w:ilvl="8" w:tplc="0809001B" w:tentative="1">
      <w:start w:val="1"/>
      <w:numFmt w:val="lowerRoman"/>
      <w:lvlText w:val="%9."/>
      <w:lvlJc w:val="right"/>
      <w:pPr>
        <w:ind w:left="8956" w:hanging="180"/>
      </w:pPr>
    </w:lvl>
  </w:abstractNum>
  <w:abstractNum w:abstractNumId="9" w15:restartNumberingAfterBreak="0">
    <w:nsid w:val="20882B48"/>
    <w:multiLevelType w:val="hybridMultilevel"/>
    <w:tmpl w:val="3B881E5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3C91962"/>
    <w:multiLevelType w:val="hybridMultilevel"/>
    <w:tmpl w:val="D5F4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ESRI NIMA VMAP1&amp;2 PT" w:hAnsi="ESRI NIMA VMAP1&amp;2 P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ESRI NIMA VMAP1&amp;2 PT" w:hAnsi="ESRI NIMA VMAP1&amp;2 PT"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ESRI NIMA VMAP1&amp;2 PT" w:hAnsi="ESRI NIMA VMAP1&amp;2 PT"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9A5044"/>
    <w:multiLevelType w:val="hybridMultilevel"/>
    <w:tmpl w:val="53D8F288"/>
    <w:lvl w:ilvl="0" w:tplc="EA44E1D6">
      <w:start w:val="1"/>
      <w:numFmt w:val="lowerRoman"/>
      <w:lvlText w:val="%1)"/>
      <w:lvlJc w:val="left"/>
      <w:pPr>
        <w:ind w:left="1728" w:hanging="720"/>
      </w:pPr>
      <w:rPr>
        <w:rFonts w:hint="default"/>
      </w:rPr>
    </w:lvl>
    <w:lvl w:ilvl="1" w:tplc="08090019" w:tentative="1">
      <w:start w:val="1"/>
      <w:numFmt w:val="lowerLetter"/>
      <w:lvlText w:val="%2."/>
      <w:lvlJc w:val="left"/>
      <w:pPr>
        <w:ind w:left="2088" w:hanging="360"/>
      </w:pPr>
    </w:lvl>
    <w:lvl w:ilvl="2" w:tplc="0809001B" w:tentative="1">
      <w:start w:val="1"/>
      <w:numFmt w:val="lowerRoman"/>
      <w:lvlText w:val="%3."/>
      <w:lvlJc w:val="right"/>
      <w:pPr>
        <w:ind w:left="2808" w:hanging="180"/>
      </w:pPr>
    </w:lvl>
    <w:lvl w:ilvl="3" w:tplc="0809000F" w:tentative="1">
      <w:start w:val="1"/>
      <w:numFmt w:val="decimal"/>
      <w:lvlText w:val="%4."/>
      <w:lvlJc w:val="left"/>
      <w:pPr>
        <w:ind w:left="3528" w:hanging="360"/>
      </w:pPr>
    </w:lvl>
    <w:lvl w:ilvl="4" w:tplc="08090019" w:tentative="1">
      <w:start w:val="1"/>
      <w:numFmt w:val="lowerLetter"/>
      <w:lvlText w:val="%5."/>
      <w:lvlJc w:val="left"/>
      <w:pPr>
        <w:ind w:left="4248" w:hanging="360"/>
      </w:pPr>
    </w:lvl>
    <w:lvl w:ilvl="5" w:tplc="0809001B" w:tentative="1">
      <w:start w:val="1"/>
      <w:numFmt w:val="lowerRoman"/>
      <w:lvlText w:val="%6."/>
      <w:lvlJc w:val="right"/>
      <w:pPr>
        <w:ind w:left="4968" w:hanging="180"/>
      </w:pPr>
    </w:lvl>
    <w:lvl w:ilvl="6" w:tplc="0809000F" w:tentative="1">
      <w:start w:val="1"/>
      <w:numFmt w:val="decimal"/>
      <w:lvlText w:val="%7."/>
      <w:lvlJc w:val="left"/>
      <w:pPr>
        <w:ind w:left="5688" w:hanging="360"/>
      </w:pPr>
    </w:lvl>
    <w:lvl w:ilvl="7" w:tplc="08090019" w:tentative="1">
      <w:start w:val="1"/>
      <w:numFmt w:val="lowerLetter"/>
      <w:lvlText w:val="%8."/>
      <w:lvlJc w:val="left"/>
      <w:pPr>
        <w:ind w:left="6408" w:hanging="360"/>
      </w:pPr>
    </w:lvl>
    <w:lvl w:ilvl="8" w:tplc="0809001B" w:tentative="1">
      <w:start w:val="1"/>
      <w:numFmt w:val="lowerRoman"/>
      <w:lvlText w:val="%9."/>
      <w:lvlJc w:val="right"/>
      <w:pPr>
        <w:ind w:left="7128" w:hanging="180"/>
      </w:pPr>
    </w:lvl>
  </w:abstractNum>
  <w:abstractNum w:abstractNumId="12" w15:restartNumberingAfterBreak="0">
    <w:nsid w:val="334B0ECE"/>
    <w:multiLevelType w:val="hybridMultilevel"/>
    <w:tmpl w:val="3F70191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3" w15:restartNumberingAfterBreak="0">
    <w:nsid w:val="33A02FAF"/>
    <w:multiLevelType w:val="multilevel"/>
    <w:tmpl w:val="1250F570"/>
    <w:lvl w:ilvl="0">
      <w:start w:val="10"/>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8FC5E16"/>
    <w:multiLevelType w:val="hybridMultilevel"/>
    <w:tmpl w:val="8C7856CE"/>
    <w:lvl w:ilvl="0" w:tplc="F7449C18">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9215783"/>
    <w:multiLevelType w:val="hybridMultilevel"/>
    <w:tmpl w:val="E6A4B372"/>
    <w:lvl w:ilvl="0" w:tplc="38D015E2">
      <w:start w:val="1"/>
      <w:numFmt w:val="bullet"/>
      <w:lvlText w:val="-"/>
      <w:lvlJc w:val="left"/>
      <w:pPr>
        <w:ind w:left="1616" w:hanging="360"/>
      </w:pPr>
      <w:rPr>
        <w:rFonts w:ascii="Times New Roman" w:eastAsia="PMingLiU" w:hAnsi="Times New Roman" w:cs="Times New Roman" w:hint="default"/>
        <w:b w:val="0"/>
        <w:color w:val="auto"/>
      </w:rPr>
    </w:lvl>
    <w:lvl w:ilvl="1" w:tplc="08090003" w:tentative="1">
      <w:start w:val="1"/>
      <w:numFmt w:val="bullet"/>
      <w:lvlText w:val="o"/>
      <w:lvlJc w:val="left"/>
      <w:pPr>
        <w:ind w:left="2253" w:hanging="360"/>
      </w:pPr>
      <w:rPr>
        <w:rFonts w:ascii="Courier New" w:hAnsi="Courier New" w:cs="Courier New" w:hint="default"/>
      </w:rPr>
    </w:lvl>
    <w:lvl w:ilvl="2" w:tplc="08090005" w:tentative="1">
      <w:start w:val="1"/>
      <w:numFmt w:val="bullet"/>
      <w:lvlText w:val=""/>
      <w:lvlJc w:val="left"/>
      <w:pPr>
        <w:ind w:left="2973" w:hanging="360"/>
      </w:pPr>
      <w:rPr>
        <w:rFonts w:ascii="Wingdings" w:hAnsi="Wingdings" w:hint="default"/>
      </w:rPr>
    </w:lvl>
    <w:lvl w:ilvl="3" w:tplc="08090001" w:tentative="1">
      <w:start w:val="1"/>
      <w:numFmt w:val="bullet"/>
      <w:lvlText w:val=""/>
      <w:lvlJc w:val="left"/>
      <w:pPr>
        <w:ind w:left="3693" w:hanging="360"/>
      </w:pPr>
      <w:rPr>
        <w:rFonts w:ascii="Symbol" w:hAnsi="Symbol" w:hint="default"/>
      </w:rPr>
    </w:lvl>
    <w:lvl w:ilvl="4" w:tplc="08090003" w:tentative="1">
      <w:start w:val="1"/>
      <w:numFmt w:val="bullet"/>
      <w:lvlText w:val="o"/>
      <w:lvlJc w:val="left"/>
      <w:pPr>
        <w:ind w:left="4413" w:hanging="360"/>
      </w:pPr>
      <w:rPr>
        <w:rFonts w:ascii="Courier New" w:hAnsi="Courier New" w:cs="Courier New" w:hint="default"/>
      </w:rPr>
    </w:lvl>
    <w:lvl w:ilvl="5" w:tplc="08090005" w:tentative="1">
      <w:start w:val="1"/>
      <w:numFmt w:val="bullet"/>
      <w:lvlText w:val=""/>
      <w:lvlJc w:val="left"/>
      <w:pPr>
        <w:ind w:left="5133" w:hanging="360"/>
      </w:pPr>
      <w:rPr>
        <w:rFonts w:ascii="Wingdings" w:hAnsi="Wingdings" w:hint="default"/>
      </w:rPr>
    </w:lvl>
    <w:lvl w:ilvl="6" w:tplc="08090001" w:tentative="1">
      <w:start w:val="1"/>
      <w:numFmt w:val="bullet"/>
      <w:lvlText w:val=""/>
      <w:lvlJc w:val="left"/>
      <w:pPr>
        <w:ind w:left="5853" w:hanging="360"/>
      </w:pPr>
      <w:rPr>
        <w:rFonts w:ascii="Symbol" w:hAnsi="Symbol" w:hint="default"/>
      </w:rPr>
    </w:lvl>
    <w:lvl w:ilvl="7" w:tplc="08090003" w:tentative="1">
      <w:start w:val="1"/>
      <w:numFmt w:val="bullet"/>
      <w:lvlText w:val="o"/>
      <w:lvlJc w:val="left"/>
      <w:pPr>
        <w:ind w:left="6573" w:hanging="360"/>
      </w:pPr>
      <w:rPr>
        <w:rFonts w:ascii="Courier New" w:hAnsi="Courier New" w:cs="Courier New" w:hint="default"/>
      </w:rPr>
    </w:lvl>
    <w:lvl w:ilvl="8" w:tplc="08090005" w:tentative="1">
      <w:start w:val="1"/>
      <w:numFmt w:val="bullet"/>
      <w:lvlText w:val=""/>
      <w:lvlJc w:val="left"/>
      <w:pPr>
        <w:ind w:left="7293" w:hanging="360"/>
      </w:pPr>
      <w:rPr>
        <w:rFonts w:ascii="Wingdings" w:hAnsi="Wingdings" w:hint="default"/>
      </w:rPr>
    </w:lvl>
  </w:abstractNum>
  <w:abstractNum w:abstractNumId="16" w15:restartNumberingAfterBreak="0">
    <w:nsid w:val="3B432CA4"/>
    <w:multiLevelType w:val="hybridMultilevel"/>
    <w:tmpl w:val="958A4398"/>
    <w:lvl w:ilvl="0" w:tplc="F7449C18">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E870CD2"/>
    <w:multiLevelType w:val="multilevel"/>
    <w:tmpl w:val="E2E05EF0"/>
    <w:lvl w:ilvl="0">
      <w:start w:val="4"/>
      <w:numFmt w:val="decimal"/>
      <w:lvlText w:val="%1"/>
      <w:lvlJc w:val="left"/>
      <w:pPr>
        <w:ind w:left="360" w:hanging="360"/>
      </w:pPr>
      <w:rPr>
        <w:rFonts w:hint="default"/>
      </w:rPr>
    </w:lvl>
    <w:lvl w:ilvl="1">
      <w:start w:val="2"/>
      <w:numFmt w:val="decimal"/>
      <w:lvlText w:val="%1.%2"/>
      <w:lvlJc w:val="left"/>
      <w:pPr>
        <w:ind w:left="786"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1C4353D"/>
    <w:multiLevelType w:val="hybridMultilevel"/>
    <w:tmpl w:val="E25C92CC"/>
    <w:lvl w:ilvl="0" w:tplc="8BCC74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34604A"/>
    <w:multiLevelType w:val="multilevel"/>
    <w:tmpl w:val="5DAE65C2"/>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15:restartNumberingAfterBreak="0">
    <w:nsid w:val="49B97442"/>
    <w:multiLevelType w:val="hybridMultilevel"/>
    <w:tmpl w:val="D3FA9D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AA7681"/>
    <w:multiLevelType w:val="hybridMultilevel"/>
    <w:tmpl w:val="F6326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CF87A27"/>
    <w:multiLevelType w:val="hybridMultilevel"/>
    <w:tmpl w:val="085607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ESRI NIMA VMAP1&amp;2 PT" w:hAnsi="ESRI NIMA VMAP1&amp;2 PT"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ESRI NIMA VMAP1&amp;2 PT" w:hAnsi="ESRI NIMA VMAP1&amp;2 PT"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ESRI NIMA VMAP1&amp;2 PT" w:hAnsi="ESRI NIMA VMAP1&amp;2 PT" w:hint="default"/>
      </w:rPr>
    </w:lvl>
    <w:lvl w:ilvl="8" w:tplc="08090005">
      <w:start w:val="1"/>
      <w:numFmt w:val="bullet"/>
      <w:lvlText w:val=""/>
      <w:lvlJc w:val="left"/>
      <w:pPr>
        <w:ind w:left="6840" w:hanging="360"/>
      </w:pPr>
      <w:rPr>
        <w:rFonts w:ascii="Wingdings" w:hAnsi="Wingdings" w:hint="default"/>
      </w:rPr>
    </w:lvl>
  </w:abstractNum>
  <w:abstractNum w:abstractNumId="23" w15:restartNumberingAfterBreak="0">
    <w:nsid w:val="4EBD7E2A"/>
    <w:multiLevelType w:val="hybridMultilevel"/>
    <w:tmpl w:val="D2E2E9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5031602"/>
    <w:multiLevelType w:val="hybridMultilevel"/>
    <w:tmpl w:val="EE4453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5AFC481F"/>
    <w:multiLevelType w:val="multilevel"/>
    <w:tmpl w:val="2F4270B8"/>
    <w:name w:val="Restart2"/>
    <w:lvl w:ilvl="0">
      <w:start w:val="1"/>
      <w:numFmt w:val="none"/>
      <w:suff w:val="nothing"/>
      <w:lvlText w:val="%1"/>
      <w:lvlJc w:val="left"/>
      <w:pPr>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b w:val="0"/>
        <w:i w:val="0"/>
      </w:rPr>
    </w:lvl>
    <w:lvl w:ilvl="3">
      <w:start w:val="1"/>
      <w:numFmt w:val="lowerLetter"/>
      <w:lvlText w:val="(%4)"/>
      <w:lvlJc w:val="left"/>
      <w:pPr>
        <w:tabs>
          <w:tab w:val="num" w:pos="1440"/>
        </w:tabs>
        <w:ind w:left="1440" w:hanging="720"/>
      </w:pPr>
      <w:rPr>
        <w:rFonts w:hint="default"/>
        <w:b w:val="0"/>
        <w:bCs w:val="0"/>
        <w:i w:val="0"/>
        <w:iCs w:val="0"/>
      </w:rPr>
    </w:lvl>
    <w:lvl w:ilvl="4">
      <w:start w:val="1"/>
      <w:numFmt w:val="lowerRoman"/>
      <w:lvlText w:val="(%5)"/>
      <w:lvlJc w:val="left"/>
      <w:pPr>
        <w:tabs>
          <w:tab w:val="num" w:pos="2160"/>
        </w:tabs>
        <w:ind w:left="2160" w:hanging="720"/>
      </w:pPr>
      <w:rPr>
        <w:rFonts w:hint="default"/>
        <w:b w:val="0"/>
        <w:bCs w:val="0"/>
        <w:i w:val="0"/>
        <w:iCs w:val="0"/>
      </w:rPr>
    </w:lvl>
    <w:lvl w:ilvl="5">
      <w:start w:val="1"/>
      <w:numFmt w:val="upperLetter"/>
      <w:lvlText w:val="(%6)"/>
      <w:lvlJc w:val="left"/>
      <w:pPr>
        <w:tabs>
          <w:tab w:val="num" w:pos="2880"/>
        </w:tabs>
        <w:ind w:left="2880" w:hanging="720"/>
      </w:pPr>
      <w:rPr>
        <w:rFonts w:hint="default"/>
        <w:b w:val="0"/>
        <w:i w:val="0"/>
      </w:rPr>
    </w:lvl>
    <w:lvl w:ilvl="6">
      <w:start w:val="1"/>
      <w:numFmt w:val="upperRoman"/>
      <w:lvlText w:val="(%7)"/>
      <w:lvlJc w:val="left"/>
      <w:pPr>
        <w:tabs>
          <w:tab w:val="num" w:pos="3600"/>
        </w:tabs>
        <w:ind w:left="3600" w:hanging="720"/>
      </w:pPr>
      <w:rPr>
        <w:rFonts w:hint="default"/>
      </w:rPr>
    </w:lvl>
    <w:lvl w:ilvl="7">
      <w:start w:val="1"/>
      <w:numFmt w:val="none"/>
      <w:lvlText w:val=""/>
      <w:lvlJc w:val="left"/>
      <w:pPr>
        <w:tabs>
          <w:tab w:val="num" w:pos="4321"/>
        </w:tabs>
        <w:ind w:left="4321" w:hanging="721"/>
      </w:pPr>
      <w:rPr>
        <w:rFonts w:hint="default"/>
      </w:rPr>
    </w:lvl>
    <w:lvl w:ilvl="8">
      <w:start w:val="1"/>
      <w:numFmt w:val="none"/>
      <w:lvlText w:val=""/>
      <w:lvlJc w:val="left"/>
      <w:pPr>
        <w:tabs>
          <w:tab w:val="num" w:pos="5041"/>
        </w:tabs>
        <w:ind w:left="5041" w:hanging="720"/>
      </w:pPr>
      <w:rPr>
        <w:rFonts w:hint="default"/>
      </w:rPr>
    </w:lvl>
  </w:abstractNum>
  <w:abstractNum w:abstractNumId="26" w15:restartNumberingAfterBreak="0">
    <w:nsid w:val="5D281165"/>
    <w:multiLevelType w:val="multilevel"/>
    <w:tmpl w:val="24368DDA"/>
    <w:lvl w:ilvl="0">
      <w:start w:val="1"/>
      <w:numFmt w:val="decimal"/>
      <w:lvlText w:val="%1.0"/>
      <w:lvlJc w:val="left"/>
      <w:pPr>
        <w:ind w:left="720" w:hanging="720"/>
      </w:pPr>
      <w:rPr>
        <w:rFonts w:hint="default"/>
        <w:b/>
        <w:sz w:val="24"/>
        <w:szCs w:val="24"/>
      </w:rPr>
    </w:lvl>
    <w:lvl w:ilvl="1">
      <w:start w:val="1"/>
      <w:numFmt w:val="decimal"/>
      <w:isLgl/>
      <w:lvlText w:val="%1.%2"/>
      <w:lvlJc w:val="left"/>
      <w:pPr>
        <w:ind w:left="720" w:hanging="720"/>
      </w:pPr>
      <w:rPr>
        <w:rFonts w:ascii="Times New Roman" w:hAnsi="Times New Roman" w:cs="Times New Roman"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61815DD2"/>
    <w:multiLevelType w:val="multilevel"/>
    <w:tmpl w:val="BF989C34"/>
    <w:lvl w:ilvl="0">
      <w:start w:val="1"/>
      <w:numFmt w:val="decimal"/>
      <w:lvlText w:val="%1.0"/>
      <w:lvlJc w:val="left"/>
      <w:pPr>
        <w:ind w:left="443" w:hanging="443"/>
      </w:pPr>
      <w:rPr>
        <w:rFonts w:hint="default"/>
        <w:b/>
      </w:rPr>
    </w:lvl>
    <w:lvl w:ilvl="1">
      <w:start w:val="1"/>
      <w:numFmt w:val="decimal"/>
      <w:lvlText w:val="%1.%2"/>
      <w:lvlJc w:val="left"/>
      <w:pPr>
        <w:ind w:left="584" w:hanging="443"/>
      </w:pPr>
      <w:rPr>
        <w:rFonts w:hint="default"/>
        <w:b/>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690E123E"/>
    <w:multiLevelType w:val="multilevel"/>
    <w:tmpl w:val="139CCD04"/>
    <w:lvl w:ilvl="0">
      <w:start w:val="1"/>
      <w:numFmt w:val="decimal"/>
      <w:lvlText w:val="%1."/>
      <w:lvlJc w:val="left"/>
      <w:pPr>
        <w:ind w:left="1021" w:hanging="1021"/>
      </w:pPr>
      <w:rPr>
        <w:rFonts w:ascii="Arial" w:eastAsiaTheme="majorEastAsia" w:hAnsi="Arial" w:cstheme="majorBidi"/>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b w:val="0"/>
        <w:color w:val="auto"/>
        <w:sz w:val="20"/>
        <w:szCs w:val="20"/>
      </w:rPr>
    </w:lvl>
    <w:lvl w:ilvl="3">
      <w:start w:val="1"/>
      <w:numFmt w:val="decimal"/>
      <w:lvlText w:val="%1.%2.%3.%4."/>
      <w:lvlJc w:val="left"/>
      <w:pPr>
        <w:tabs>
          <w:tab w:val="num" w:pos="5103"/>
        </w:tabs>
        <w:ind w:left="1021" w:hanging="1021"/>
      </w:pPr>
      <w:rPr>
        <w:rFonts w:hint="default"/>
      </w:rPr>
    </w:lvl>
    <w:lvl w:ilvl="4">
      <w:start w:val="1"/>
      <w:numFmt w:val="decimal"/>
      <w:lvlText w:val="%1.%2.%3.%4.%5."/>
      <w:lvlJc w:val="left"/>
      <w:pPr>
        <w:ind w:left="1021" w:hanging="1021"/>
      </w:pPr>
      <w:rPr>
        <w:rFonts w:hint="default"/>
      </w:rPr>
    </w:lvl>
    <w:lvl w:ilvl="5">
      <w:start w:val="1"/>
      <w:numFmt w:val="upperLetter"/>
      <w:lvlText w:val="Appendix %6."/>
      <w:lvlJc w:val="left"/>
      <w:pPr>
        <w:ind w:left="4708" w:hanging="1021"/>
      </w:pPr>
      <w:rPr>
        <w:rFonts w:hint="default"/>
      </w:rPr>
    </w:lvl>
    <w:lvl w:ilvl="6">
      <w:start w:val="1"/>
      <w:numFmt w:val="decimal"/>
      <w:lvlText w:val="%6.%7."/>
      <w:lvlJc w:val="left"/>
      <w:pPr>
        <w:ind w:left="1021" w:hanging="1021"/>
      </w:pPr>
      <w:rPr>
        <w:rFonts w:hint="default"/>
      </w:rPr>
    </w:lvl>
    <w:lvl w:ilvl="7">
      <w:start w:val="1"/>
      <w:numFmt w:val="decimal"/>
      <w:lvlText w:val="%6.%7.%8."/>
      <w:lvlJc w:val="left"/>
      <w:pPr>
        <w:ind w:left="1021" w:hanging="1021"/>
      </w:pPr>
      <w:rPr>
        <w:rFonts w:hint="default"/>
      </w:rPr>
    </w:lvl>
    <w:lvl w:ilvl="8">
      <w:start w:val="1"/>
      <w:numFmt w:val="decimal"/>
      <w:lvlText w:val="%6.%7.%8.%9."/>
      <w:lvlJc w:val="left"/>
      <w:pPr>
        <w:ind w:left="1021" w:hanging="1021"/>
      </w:pPr>
      <w:rPr>
        <w:rFonts w:hint="default"/>
      </w:rPr>
    </w:lvl>
  </w:abstractNum>
  <w:abstractNum w:abstractNumId="29" w15:restartNumberingAfterBreak="0">
    <w:nsid w:val="6DA52626"/>
    <w:multiLevelType w:val="multilevel"/>
    <w:tmpl w:val="5F6E830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09A0F78"/>
    <w:multiLevelType w:val="hybridMultilevel"/>
    <w:tmpl w:val="F8963530"/>
    <w:lvl w:ilvl="0" w:tplc="03E85272">
      <w:start w:val="1"/>
      <w:numFmt w:val="bullet"/>
      <w:pStyle w:val="ListBulletLast"/>
      <w:lvlText w:val=""/>
      <w:lvlJc w:val="left"/>
      <w:pPr>
        <w:ind w:left="1381" w:hanging="360"/>
      </w:pPr>
      <w:rPr>
        <w:rFonts w:ascii="Symbol" w:hAnsi="Symbol" w:hint="default"/>
      </w:rPr>
    </w:lvl>
    <w:lvl w:ilvl="1" w:tplc="08090003">
      <w:start w:val="1"/>
      <w:numFmt w:val="bullet"/>
      <w:lvlText w:val="o"/>
      <w:lvlJc w:val="left"/>
      <w:pPr>
        <w:ind w:left="2101" w:hanging="360"/>
      </w:pPr>
      <w:rPr>
        <w:rFonts w:ascii="Courier New" w:hAnsi="Courier New" w:cs="Courier New" w:hint="default"/>
      </w:rPr>
    </w:lvl>
    <w:lvl w:ilvl="2" w:tplc="08090005">
      <w:start w:val="1"/>
      <w:numFmt w:val="bullet"/>
      <w:lvlText w:val=""/>
      <w:lvlJc w:val="left"/>
      <w:pPr>
        <w:ind w:left="2821" w:hanging="360"/>
      </w:pPr>
      <w:rPr>
        <w:rFonts w:ascii="Wingdings" w:hAnsi="Wingdings" w:hint="default"/>
      </w:rPr>
    </w:lvl>
    <w:lvl w:ilvl="3" w:tplc="08090001">
      <w:start w:val="1"/>
      <w:numFmt w:val="bullet"/>
      <w:lvlText w:val=""/>
      <w:lvlJc w:val="left"/>
      <w:pPr>
        <w:ind w:left="3541" w:hanging="360"/>
      </w:pPr>
      <w:rPr>
        <w:rFonts w:ascii="Symbol" w:hAnsi="Symbol" w:hint="default"/>
      </w:rPr>
    </w:lvl>
    <w:lvl w:ilvl="4" w:tplc="08090003">
      <w:start w:val="1"/>
      <w:numFmt w:val="bullet"/>
      <w:lvlText w:val="o"/>
      <w:lvlJc w:val="left"/>
      <w:pPr>
        <w:ind w:left="4261" w:hanging="360"/>
      </w:pPr>
      <w:rPr>
        <w:rFonts w:ascii="Courier New" w:hAnsi="Courier New" w:cs="Courier New" w:hint="default"/>
      </w:rPr>
    </w:lvl>
    <w:lvl w:ilvl="5" w:tplc="08090005">
      <w:start w:val="1"/>
      <w:numFmt w:val="bullet"/>
      <w:lvlText w:val=""/>
      <w:lvlJc w:val="left"/>
      <w:pPr>
        <w:ind w:left="4981" w:hanging="360"/>
      </w:pPr>
      <w:rPr>
        <w:rFonts w:ascii="Wingdings" w:hAnsi="Wingdings" w:hint="default"/>
      </w:rPr>
    </w:lvl>
    <w:lvl w:ilvl="6" w:tplc="08090001">
      <w:start w:val="1"/>
      <w:numFmt w:val="bullet"/>
      <w:lvlText w:val=""/>
      <w:lvlJc w:val="left"/>
      <w:pPr>
        <w:ind w:left="5701" w:hanging="360"/>
      </w:pPr>
      <w:rPr>
        <w:rFonts w:ascii="Symbol" w:hAnsi="Symbol" w:hint="default"/>
      </w:rPr>
    </w:lvl>
    <w:lvl w:ilvl="7" w:tplc="08090003">
      <w:start w:val="1"/>
      <w:numFmt w:val="bullet"/>
      <w:lvlText w:val="o"/>
      <w:lvlJc w:val="left"/>
      <w:pPr>
        <w:ind w:left="6421" w:hanging="360"/>
      </w:pPr>
      <w:rPr>
        <w:rFonts w:ascii="Courier New" w:hAnsi="Courier New" w:cs="Courier New" w:hint="default"/>
      </w:rPr>
    </w:lvl>
    <w:lvl w:ilvl="8" w:tplc="08090005">
      <w:start w:val="1"/>
      <w:numFmt w:val="bullet"/>
      <w:lvlText w:val=""/>
      <w:lvlJc w:val="left"/>
      <w:pPr>
        <w:ind w:left="7141" w:hanging="360"/>
      </w:pPr>
      <w:rPr>
        <w:rFonts w:ascii="Wingdings" w:hAnsi="Wingdings" w:hint="default"/>
      </w:rPr>
    </w:lvl>
  </w:abstractNum>
  <w:abstractNum w:abstractNumId="31" w15:restartNumberingAfterBreak="0">
    <w:nsid w:val="7CBD22CE"/>
    <w:multiLevelType w:val="multilevel"/>
    <w:tmpl w:val="8EF6F0B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F177B6E"/>
    <w:multiLevelType w:val="multilevel"/>
    <w:tmpl w:val="BF989C34"/>
    <w:lvl w:ilvl="0">
      <w:start w:val="1"/>
      <w:numFmt w:val="decimal"/>
      <w:lvlText w:val="%1.0"/>
      <w:lvlJc w:val="left"/>
      <w:pPr>
        <w:ind w:left="443" w:hanging="443"/>
      </w:pPr>
      <w:rPr>
        <w:rFonts w:hint="default"/>
        <w:b/>
      </w:rPr>
    </w:lvl>
    <w:lvl w:ilvl="1">
      <w:start w:val="1"/>
      <w:numFmt w:val="decimal"/>
      <w:lvlText w:val="%1.%2"/>
      <w:lvlJc w:val="left"/>
      <w:pPr>
        <w:ind w:left="443" w:hanging="443"/>
      </w:pPr>
      <w:rPr>
        <w:rFonts w:hint="default"/>
        <w:b/>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7"/>
  </w:num>
  <w:num w:numId="2">
    <w:abstractNumId w:val="11"/>
  </w:num>
  <w:num w:numId="3">
    <w:abstractNumId w:val="2"/>
  </w:num>
  <w:num w:numId="4">
    <w:abstractNumId w:val="0"/>
  </w:num>
  <w:num w:numId="5">
    <w:abstractNumId w:val="4"/>
  </w:num>
  <w:num w:numId="6">
    <w:abstractNumId w:val="23"/>
  </w:num>
  <w:num w:numId="7">
    <w:abstractNumId w:val="1"/>
  </w:num>
  <w:num w:numId="8">
    <w:abstractNumId w:val="26"/>
  </w:num>
  <w:num w:numId="9">
    <w:abstractNumId w:val="14"/>
  </w:num>
  <w:num w:numId="10">
    <w:abstractNumId w:val="16"/>
  </w:num>
  <w:num w:numId="11">
    <w:abstractNumId w:val="24"/>
  </w:num>
  <w:num w:numId="12">
    <w:abstractNumId w:val="22"/>
  </w:num>
  <w:num w:numId="13">
    <w:abstractNumId w:val="18"/>
  </w:num>
  <w:num w:numId="14">
    <w:abstractNumId w:val="5"/>
  </w:num>
  <w:num w:numId="15">
    <w:abstractNumId w:val="10"/>
  </w:num>
  <w:num w:numId="16">
    <w:abstractNumId w:val="7"/>
  </w:num>
  <w:num w:numId="17">
    <w:abstractNumId w:val="12"/>
  </w:num>
  <w:num w:numId="18">
    <w:abstractNumId w:val="21"/>
  </w:num>
  <w:num w:numId="19">
    <w:abstractNumId w:val="9"/>
  </w:num>
  <w:num w:numId="20">
    <w:abstractNumId w:val="29"/>
  </w:num>
  <w:num w:numId="21">
    <w:abstractNumId w:val="17"/>
  </w:num>
  <w:num w:numId="22">
    <w:abstractNumId w:val="20"/>
  </w:num>
  <w:num w:numId="23">
    <w:abstractNumId w:val="8"/>
  </w:num>
  <w:num w:numId="24">
    <w:abstractNumId w:val="3"/>
  </w:num>
  <w:num w:numId="25">
    <w:abstractNumId w:val="19"/>
  </w:num>
  <w:num w:numId="26">
    <w:abstractNumId w:val="31"/>
  </w:num>
  <w:num w:numId="27">
    <w:abstractNumId w:val="13"/>
  </w:num>
  <w:num w:numId="28">
    <w:abstractNumId w:val="32"/>
  </w:num>
  <w:num w:numId="29">
    <w:abstractNumId w:val="6"/>
  </w:num>
  <w:num w:numId="30">
    <w:abstractNumId w:val="15"/>
  </w:num>
  <w:num w:numId="31">
    <w:abstractNumId w:val="28"/>
  </w:num>
  <w:num w:numId="32">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IM_Brand" w:val="D9"/>
  </w:docVars>
  <w:rsids>
    <w:rsidRoot w:val="00C77A9F"/>
    <w:rsid w:val="00000958"/>
    <w:rsid w:val="00000B75"/>
    <w:rsid w:val="00010340"/>
    <w:rsid w:val="000125E8"/>
    <w:rsid w:val="00013463"/>
    <w:rsid w:val="00014C6C"/>
    <w:rsid w:val="00016776"/>
    <w:rsid w:val="00021A97"/>
    <w:rsid w:val="00023F0A"/>
    <w:rsid w:val="0002574B"/>
    <w:rsid w:val="0003086C"/>
    <w:rsid w:val="0003451E"/>
    <w:rsid w:val="00036BFD"/>
    <w:rsid w:val="00037182"/>
    <w:rsid w:val="00037807"/>
    <w:rsid w:val="00043C64"/>
    <w:rsid w:val="00045FF2"/>
    <w:rsid w:val="00047517"/>
    <w:rsid w:val="000475F9"/>
    <w:rsid w:val="00047A12"/>
    <w:rsid w:val="00050AFE"/>
    <w:rsid w:val="00050EB7"/>
    <w:rsid w:val="00051EAB"/>
    <w:rsid w:val="000554B4"/>
    <w:rsid w:val="00057502"/>
    <w:rsid w:val="000611B1"/>
    <w:rsid w:val="0006285C"/>
    <w:rsid w:val="00063B5B"/>
    <w:rsid w:val="00065EE5"/>
    <w:rsid w:val="0006621A"/>
    <w:rsid w:val="000771C0"/>
    <w:rsid w:val="000771DD"/>
    <w:rsid w:val="00077A73"/>
    <w:rsid w:val="000806CB"/>
    <w:rsid w:val="00086AE4"/>
    <w:rsid w:val="00087173"/>
    <w:rsid w:val="0008798D"/>
    <w:rsid w:val="00092B45"/>
    <w:rsid w:val="000960B3"/>
    <w:rsid w:val="000A0AE9"/>
    <w:rsid w:val="000A2BFC"/>
    <w:rsid w:val="000A37DF"/>
    <w:rsid w:val="000A7C24"/>
    <w:rsid w:val="000B57B0"/>
    <w:rsid w:val="000B7E9A"/>
    <w:rsid w:val="000C32AA"/>
    <w:rsid w:val="000C7C91"/>
    <w:rsid w:val="000D0512"/>
    <w:rsid w:val="000D122E"/>
    <w:rsid w:val="000D2A7A"/>
    <w:rsid w:val="000D3F45"/>
    <w:rsid w:val="000E4100"/>
    <w:rsid w:val="000E58D8"/>
    <w:rsid w:val="000E709C"/>
    <w:rsid w:val="00104652"/>
    <w:rsid w:val="00110843"/>
    <w:rsid w:val="0011588E"/>
    <w:rsid w:val="00122AC1"/>
    <w:rsid w:val="001256BE"/>
    <w:rsid w:val="001326C2"/>
    <w:rsid w:val="001328CF"/>
    <w:rsid w:val="0013763B"/>
    <w:rsid w:val="00137FFA"/>
    <w:rsid w:val="00141B41"/>
    <w:rsid w:val="00143F75"/>
    <w:rsid w:val="00144B1F"/>
    <w:rsid w:val="00147506"/>
    <w:rsid w:val="001518BE"/>
    <w:rsid w:val="00152FC7"/>
    <w:rsid w:val="00161D17"/>
    <w:rsid w:val="0016543B"/>
    <w:rsid w:val="001748FC"/>
    <w:rsid w:val="001B0566"/>
    <w:rsid w:val="001B068B"/>
    <w:rsid w:val="001B15CD"/>
    <w:rsid w:val="001B464E"/>
    <w:rsid w:val="001B651C"/>
    <w:rsid w:val="001B6ADC"/>
    <w:rsid w:val="001C38A7"/>
    <w:rsid w:val="001C4EEB"/>
    <w:rsid w:val="001D0542"/>
    <w:rsid w:val="001D2BB8"/>
    <w:rsid w:val="001E0F6A"/>
    <w:rsid w:val="001E1E55"/>
    <w:rsid w:val="001E2C9D"/>
    <w:rsid w:val="001E4C74"/>
    <w:rsid w:val="001F409C"/>
    <w:rsid w:val="001F624D"/>
    <w:rsid w:val="001F6D7C"/>
    <w:rsid w:val="002038F7"/>
    <w:rsid w:val="00204037"/>
    <w:rsid w:val="00205ED5"/>
    <w:rsid w:val="00206596"/>
    <w:rsid w:val="00207F74"/>
    <w:rsid w:val="00215D29"/>
    <w:rsid w:val="002163E0"/>
    <w:rsid w:val="00217089"/>
    <w:rsid w:val="00220DA4"/>
    <w:rsid w:val="0022186E"/>
    <w:rsid w:val="0022629D"/>
    <w:rsid w:val="00227428"/>
    <w:rsid w:val="002330E1"/>
    <w:rsid w:val="002351F8"/>
    <w:rsid w:val="0023599B"/>
    <w:rsid w:val="002362DF"/>
    <w:rsid w:val="00236694"/>
    <w:rsid w:val="00242001"/>
    <w:rsid w:val="00246BCF"/>
    <w:rsid w:val="0025264A"/>
    <w:rsid w:val="00252999"/>
    <w:rsid w:val="002549E0"/>
    <w:rsid w:val="00261A08"/>
    <w:rsid w:val="00263F9E"/>
    <w:rsid w:val="002657DB"/>
    <w:rsid w:val="00267BF8"/>
    <w:rsid w:val="0027131B"/>
    <w:rsid w:val="002825B7"/>
    <w:rsid w:val="00285947"/>
    <w:rsid w:val="00286FCD"/>
    <w:rsid w:val="00287FBB"/>
    <w:rsid w:val="002961EA"/>
    <w:rsid w:val="002A17B7"/>
    <w:rsid w:val="002A3AF9"/>
    <w:rsid w:val="002C3099"/>
    <w:rsid w:val="002D15C8"/>
    <w:rsid w:val="002D48A0"/>
    <w:rsid w:val="002D4F52"/>
    <w:rsid w:val="002E1E4C"/>
    <w:rsid w:val="002E3208"/>
    <w:rsid w:val="002E3E23"/>
    <w:rsid w:val="002E4F9F"/>
    <w:rsid w:val="002F22E2"/>
    <w:rsid w:val="002F3575"/>
    <w:rsid w:val="002F5A02"/>
    <w:rsid w:val="002F7A1E"/>
    <w:rsid w:val="002F7CBC"/>
    <w:rsid w:val="00312C73"/>
    <w:rsid w:val="003134CD"/>
    <w:rsid w:val="00313669"/>
    <w:rsid w:val="0031639B"/>
    <w:rsid w:val="00316E52"/>
    <w:rsid w:val="00324069"/>
    <w:rsid w:val="0032661C"/>
    <w:rsid w:val="003277C0"/>
    <w:rsid w:val="003312D0"/>
    <w:rsid w:val="0033388D"/>
    <w:rsid w:val="0034221F"/>
    <w:rsid w:val="003434E5"/>
    <w:rsid w:val="003469A0"/>
    <w:rsid w:val="0035069A"/>
    <w:rsid w:val="00353B66"/>
    <w:rsid w:val="00355468"/>
    <w:rsid w:val="003557EF"/>
    <w:rsid w:val="00356211"/>
    <w:rsid w:val="00356524"/>
    <w:rsid w:val="00360D23"/>
    <w:rsid w:val="00363268"/>
    <w:rsid w:val="00365E3D"/>
    <w:rsid w:val="00370531"/>
    <w:rsid w:val="0037290C"/>
    <w:rsid w:val="003878B6"/>
    <w:rsid w:val="00390D84"/>
    <w:rsid w:val="00394DD5"/>
    <w:rsid w:val="00395354"/>
    <w:rsid w:val="003953D5"/>
    <w:rsid w:val="00397F65"/>
    <w:rsid w:val="003A4287"/>
    <w:rsid w:val="003B1563"/>
    <w:rsid w:val="003B3445"/>
    <w:rsid w:val="003B3C6E"/>
    <w:rsid w:val="003B4AD6"/>
    <w:rsid w:val="003B5288"/>
    <w:rsid w:val="003B6BC3"/>
    <w:rsid w:val="003D072F"/>
    <w:rsid w:val="003E0ACC"/>
    <w:rsid w:val="003E0ECD"/>
    <w:rsid w:val="003E5801"/>
    <w:rsid w:val="003F2750"/>
    <w:rsid w:val="003F48CB"/>
    <w:rsid w:val="00400564"/>
    <w:rsid w:val="00400DDD"/>
    <w:rsid w:val="00402256"/>
    <w:rsid w:val="00403A3B"/>
    <w:rsid w:val="004103B5"/>
    <w:rsid w:val="00412679"/>
    <w:rsid w:val="00413962"/>
    <w:rsid w:val="00422370"/>
    <w:rsid w:val="00426722"/>
    <w:rsid w:val="004346A7"/>
    <w:rsid w:val="00437639"/>
    <w:rsid w:val="00444DE3"/>
    <w:rsid w:val="004462FC"/>
    <w:rsid w:val="00462E45"/>
    <w:rsid w:val="00464965"/>
    <w:rsid w:val="004842F5"/>
    <w:rsid w:val="00491025"/>
    <w:rsid w:val="00491449"/>
    <w:rsid w:val="00491FD5"/>
    <w:rsid w:val="004A5624"/>
    <w:rsid w:val="004B2762"/>
    <w:rsid w:val="004B37EB"/>
    <w:rsid w:val="004B7085"/>
    <w:rsid w:val="004B778B"/>
    <w:rsid w:val="004B7FEB"/>
    <w:rsid w:val="004C33FD"/>
    <w:rsid w:val="004D0ED9"/>
    <w:rsid w:val="004D1E29"/>
    <w:rsid w:val="004D3260"/>
    <w:rsid w:val="004E07DC"/>
    <w:rsid w:val="004E0C08"/>
    <w:rsid w:val="004E49DB"/>
    <w:rsid w:val="004F174E"/>
    <w:rsid w:val="004F7D58"/>
    <w:rsid w:val="00500AAD"/>
    <w:rsid w:val="00505012"/>
    <w:rsid w:val="0050582D"/>
    <w:rsid w:val="0051141F"/>
    <w:rsid w:val="00511A08"/>
    <w:rsid w:val="005123D0"/>
    <w:rsid w:val="00514EBC"/>
    <w:rsid w:val="0051728C"/>
    <w:rsid w:val="005214F5"/>
    <w:rsid w:val="00526AC2"/>
    <w:rsid w:val="00531136"/>
    <w:rsid w:val="005318AF"/>
    <w:rsid w:val="00532215"/>
    <w:rsid w:val="00535EC6"/>
    <w:rsid w:val="00540977"/>
    <w:rsid w:val="005415BC"/>
    <w:rsid w:val="00542602"/>
    <w:rsid w:val="00542A67"/>
    <w:rsid w:val="00544527"/>
    <w:rsid w:val="00544595"/>
    <w:rsid w:val="0054664E"/>
    <w:rsid w:val="00546E14"/>
    <w:rsid w:val="005528EA"/>
    <w:rsid w:val="00554BEC"/>
    <w:rsid w:val="00556373"/>
    <w:rsid w:val="00557CC7"/>
    <w:rsid w:val="00560CEF"/>
    <w:rsid w:val="00562CDA"/>
    <w:rsid w:val="005630CD"/>
    <w:rsid w:val="0056771E"/>
    <w:rsid w:val="005705E9"/>
    <w:rsid w:val="005739D6"/>
    <w:rsid w:val="00573A36"/>
    <w:rsid w:val="005740B2"/>
    <w:rsid w:val="00574238"/>
    <w:rsid w:val="00575965"/>
    <w:rsid w:val="00577A72"/>
    <w:rsid w:val="00580776"/>
    <w:rsid w:val="00584409"/>
    <w:rsid w:val="00585676"/>
    <w:rsid w:val="00590F0B"/>
    <w:rsid w:val="0059424D"/>
    <w:rsid w:val="005974BD"/>
    <w:rsid w:val="005A0781"/>
    <w:rsid w:val="005A505F"/>
    <w:rsid w:val="005A51B8"/>
    <w:rsid w:val="005A6982"/>
    <w:rsid w:val="005A760D"/>
    <w:rsid w:val="005B10F8"/>
    <w:rsid w:val="005B313C"/>
    <w:rsid w:val="005B3EC1"/>
    <w:rsid w:val="005C023B"/>
    <w:rsid w:val="005C2741"/>
    <w:rsid w:val="005D1A7C"/>
    <w:rsid w:val="005D1FC1"/>
    <w:rsid w:val="005D2020"/>
    <w:rsid w:val="005E0757"/>
    <w:rsid w:val="005E3F6B"/>
    <w:rsid w:val="005E5DC8"/>
    <w:rsid w:val="005E5F23"/>
    <w:rsid w:val="005F74B6"/>
    <w:rsid w:val="00600744"/>
    <w:rsid w:val="00604B3B"/>
    <w:rsid w:val="006100F1"/>
    <w:rsid w:val="00613310"/>
    <w:rsid w:val="00615D45"/>
    <w:rsid w:val="00617856"/>
    <w:rsid w:val="00621FC4"/>
    <w:rsid w:val="00622456"/>
    <w:rsid w:val="00630EBA"/>
    <w:rsid w:val="00631254"/>
    <w:rsid w:val="00632063"/>
    <w:rsid w:val="0063357C"/>
    <w:rsid w:val="0063410C"/>
    <w:rsid w:val="00640BDD"/>
    <w:rsid w:val="00642C7C"/>
    <w:rsid w:val="00645F6E"/>
    <w:rsid w:val="00646333"/>
    <w:rsid w:val="00650C74"/>
    <w:rsid w:val="00654E88"/>
    <w:rsid w:val="0065605C"/>
    <w:rsid w:val="0065625A"/>
    <w:rsid w:val="00663735"/>
    <w:rsid w:val="0066435C"/>
    <w:rsid w:val="00664729"/>
    <w:rsid w:val="00665124"/>
    <w:rsid w:val="00670929"/>
    <w:rsid w:val="00672590"/>
    <w:rsid w:val="00675701"/>
    <w:rsid w:val="00680BF4"/>
    <w:rsid w:val="00687550"/>
    <w:rsid w:val="00687764"/>
    <w:rsid w:val="00696D50"/>
    <w:rsid w:val="006A67BC"/>
    <w:rsid w:val="006A6852"/>
    <w:rsid w:val="006B1967"/>
    <w:rsid w:val="006B241C"/>
    <w:rsid w:val="006B2935"/>
    <w:rsid w:val="006B6B52"/>
    <w:rsid w:val="006B78DA"/>
    <w:rsid w:val="006C4FB3"/>
    <w:rsid w:val="006D41AE"/>
    <w:rsid w:val="006D4B2A"/>
    <w:rsid w:val="006E60CF"/>
    <w:rsid w:val="006F2E9D"/>
    <w:rsid w:val="006F3404"/>
    <w:rsid w:val="00700C1B"/>
    <w:rsid w:val="007038C4"/>
    <w:rsid w:val="00705145"/>
    <w:rsid w:val="00707F6E"/>
    <w:rsid w:val="00713C1E"/>
    <w:rsid w:val="00721E05"/>
    <w:rsid w:val="007226FD"/>
    <w:rsid w:val="00730725"/>
    <w:rsid w:val="00733771"/>
    <w:rsid w:val="00735658"/>
    <w:rsid w:val="00741D57"/>
    <w:rsid w:val="00745460"/>
    <w:rsid w:val="00745C99"/>
    <w:rsid w:val="0075245F"/>
    <w:rsid w:val="00752922"/>
    <w:rsid w:val="00752DD2"/>
    <w:rsid w:val="00754D62"/>
    <w:rsid w:val="00757226"/>
    <w:rsid w:val="0076102C"/>
    <w:rsid w:val="007666C8"/>
    <w:rsid w:val="0076767A"/>
    <w:rsid w:val="0076773F"/>
    <w:rsid w:val="00774C4D"/>
    <w:rsid w:val="0078366F"/>
    <w:rsid w:val="00793D15"/>
    <w:rsid w:val="00796218"/>
    <w:rsid w:val="007A25FD"/>
    <w:rsid w:val="007A530B"/>
    <w:rsid w:val="007B7632"/>
    <w:rsid w:val="007E49D8"/>
    <w:rsid w:val="007E513E"/>
    <w:rsid w:val="007E7708"/>
    <w:rsid w:val="007E7FBB"/>
    <w:rsid w:val="007F22B6"/>
    <w:rsid w:val="007F41D1"/>
    <w:rsid w:val="008000F2"/>
    <w:rsid w:val="00800783"/>
    <w:rsid w:val="00801A2B"/>
    <w:rsid w:val="00806AAD"/>
    <w:rsid w:val="0081038A"/>
    <w:rsid w:val="008112EF"/>
    <w:rsid w:val="00813168"/>
    <w:rsid w:val="008166DE"/>
    <w:rsid w:val="00821CCC"/>
    <w:rsid w:val="00823351"/>
    <w:rsid w:val="008264AB"/>
    <w:rsid w:val="008377C5"/>
    <w:rsid w:val="00837A3D"/>
    <w:rsid w:val="00840B7C"/>
    <w:rsid w:val="00841A37"/>
    <w:rsid w:val="00843A38"/>
    <w:rsid w:val="00845A8B"/>
    <w:rsid w:val="00847319"/>
    <w:rsid w:val="008524F9"/>
    <w:rsid w:val="00853BA6"/>
    <w:rsid w:val="00854486"/>
    <w:rsid w:val="008574A3"/>
    <w:rsid w:val="00860403"/>
    <w:rsid w:val="00860E1D"/>
    <w:rsid w:val="00863B14"/>
    <w:rsid w:val="00863FF6"/>
    <w:rsid w:val="00865CC2"/>
    <w:rsid w:val="00867F40"/>
    <w:rsid w:val="00875958"/>
    <w:rsid w:val="0088294D"/>
    <w:rsid w:val="008955FF"/>
    <w:rsid w:val="00895C07"/>
    <w:rsid w:val="008977D4"/>
    <w:rsid w:val="008A0A21"/>
    <w:rsid w:val="008A1540"/>
    <w:rsid w:val="008A6C99"/>
    <w:rsid w:val="008B0BAC"/>
    <w:rsid w:val="008B75E2"/>
    <w:rsid w:val="008C3C39"/>
    <w:rsid w:val="008D37E8"/>
    <w:rsid w:val="008D601C"/>
    <w:rsid w:val="008E54C8"/>
    <w:rsid w:val="008E657B"/>
    <w:rsid w:val="008E6AE7"/>
    <w:rsid w:val="008F3D58"/>
    <w:rsid w:val="009009D0"/>
    <w:rsid w:val="009011D8"/>
    <w:rsid w:val="00901EA9"/>
    <w:rsid w:val="00902D00"/>
    <w:rsid w:val="0090429A"/>
    <w:rsid w:val="009063D8"/>
    <w:rsid w:val="0091111E"/>
    <w:rsid w:val="00912E93"/>
    <w:rsid w:val="0091752A"/>
    <w:rsid w:val="00921BAC"/>
    <w:rsid w:val="00922614"/>
    <w:rsid w:val="00925286"/>
    <w:rsid w:val="00927710"/>
    <w:rsid w:val="00934667"/>
    <w:rsid w:val="00934889"/>
    <w:rsid w:val="009378BC"/>
    <w:rsid w:val="009404D1"/>
    <w:rsid w:val="00943CE2"/>
    <w:rsid w:val="009624BE"/>
    <w:rsid w:val="00963129"/>
    <w:rsid w:val="00963F38"/>
    <w:rsid w:val="009667EE"/>
    <w:rsid w:val="00992ACD"/>
    <w:rsid w:val="009A3226"/>
    <w:rsid w:val="009A51A0"/>
    <w:rsid w:val="009A68CB"/>
    <w:rsid w:val="009B33F9"/>
    <w:rsid w:val="009B68EA"/>
    <w:rsid w:val="009C6130"/>
    <w:rsid w:val="009D05FF"/>
    <w:rsid w:val="009D7BC6"/>
    <w:rsid w:val="009E14F8"/>
    <w:rsid w:val="009E34B6"/>
    <w:rsid w:val="009E42F1"/>
    <w:rsid w:val="009E6C7F"/>
    <w:rsid w:val="009F106E"/>
    <w:rsid w:val="009F197F"/>
    <w:rsid w:val="009F2676"/>
    <w:rsid w:val="00A00A17"/>
    <w:rsid w:val="00A109FD"/>
    <w:rsid w:val="00A16BD6"/>
    <w:rsid w:val="00A30280"/>
    <w:rsid w:val="00A32D11"/>
    <w:rsid w:val="00A367C8"/>
    <w:rsid w:val="00A40DEC"/>
    <w:rsid w:val="00A4124E"/>
    <w:rsid w:val="00A50A1D"/>
    <w:rsid w:val="00A52616"/>
    <w:rsid w:val="00A529C5"/>
    <w:rsid w:val="00A53046"/>
    <w:rsid w:val="00A5524D"/>
    <w:rsid w:val="00A56787"/>
    <w:rsid w:val="00A6022A"/>
    <w:rsid w:val="00A62989"/>
    <w:rsid w:val="00A676D3"/>
    <w:rsid w:val="00A736FB"/>
    <w:rsid w:val="00A832C0"/>
    <w:rsid w:val="00A8468C"/>
    <w:rsid w:val="00A853C2"/>
    <w:rsid w:val="00A91241"/>
    <w:rsid w:val="00A96890"/>
    <w:rsid w:val="00A96B23"/>
    <w:rsid w:val="00AA47E8"/>
    <w:rsid w:val="00AB304A"/>
    <w:rsid w:val="00AB34D5"/>
    <w:rsid w:val="00AB56CD"/>
    <w:rsid w:val="00AB5B8B"/>
    <w:rsid w:val="00AB6C60"/>
    <w:rsid w:val="00AC5ECE"/>
    <w:rsid w:val="00AD127B"/>
    <w:rsid w:val="00AD16A7"/>
    <w:rsid w:val="00AD36DB"/>
    <w:rsid w:val="00AD49B9"/>
    <w:rsid w:val="00AD4FA6"/>
    <w:rsid w:val="00AD6CAB"/>
    <w:rsid w:val="00AD6E79"/>
    <w:rsid w:val="00AE136E"/>
    <w:rsid w:val="00AE29D1"/>
    <w:rsid w:val="00AE30C8"/>
    <w:rsid w:val="00AE3F2A"/>
    <w:rsid w:val="00AE6C15"/>
    <w:rsid w:val="00AF2378"/>
    <w:rsid w:val="00AF40D1"/>
    <w:rsid w:val="00B03536"/>
    <w:rsid w:val="00B079BE"/>
    <w:rsid w:val="00B1229A"/>
    <w:rsid w:val="00B12665"/>
    <w:rsid w:val="00B1372C"/>
    <w:rsid w:val="00B14055"/>
    <w:rsid w:val="00B14933"/>
    <w:rsid w:val="00B173AF"/>
    <w:rsid w:val="00B21EB5"/>
    <w:rsid w:val="00B2581B"/>
    <w:rsid w:val="00B25941"/>
    <w:rsid w:val="00B31BB4"/>
    <w:rsid w:val="00B35606"/>
    <w:rsid w:val="00B3596D"/>
    <w:rsid w:val="00B35EFC"/>
    <w:rsid w:val="00B42AD2"/>
    <w:rsid w:val="00B43E4D"/>
    <w:rsid w:val="00B4408A"/>
    <w:rsid w:val="00B60FFC"/>
    <w:rsid w:val="00B70372"/>
    <w:rsid w:val="00B714B8"/>
    <w:rsid w:val="00B71C0C"/>
    <w:rsid w:val="00B72450"/>
    <w:rsid w:val="00B75B1A"/>
    <w:rsid w:val="00B75D8B"/>
    <w:rsid w:val="00B813B4"/>
    <w:rsid w:val="00B82483"/>
    <w:rsid w:val="00B838DC"/>
    <w:rsid w:val="00B902AF"/>
    <w:rsid w:val="00B94385"/>
    <w:rsid w:val="00B948FB"/>
    <w:rsid w:val="00BA3EEC"/>
    <w:rsid w:val="00BA6556"/>
    <w:rsid w:val="00BA7B20"/>
    <w:rsid w:val="00BB1398"/>
    <w:rsid w:val="00BB3ECF"/>
    <w:rsid w:val="00BB4477"/>
    <w:rsid w:val="00BB6D78"/>
    <w:rsid w:val="00BC545E"/>
    <w:rsid w:val="00BC7205"/>
    <w:rsid w:val="00BD163D"/>
    <w:rsid w:val="00BD5DFD"/>
    <w:rsid w:val="00BD600D"/>
    <w:rsid w:val="00BE137A"/>
    <w:rsid w:val="00BE2606"/>
    <w:rsid w:val="00BE4114"/>
    <w:rsid w:val="00BE7AC4"/>
    <w:rsid w:val="00BF19F8"/>
    <w:rsid w:val="00BF6550"/>
    <w:rsid w:val="00C00391"/>
    <w:rsid w:val="00C0453C"/>
    <w:rsid w:val="00C15938"/>
    <w:rsid w:val="00C16944"/>
    <w:rsid w:val="00C179FE"/>
    <w:rsid w:val="00C21904"/>
    <w:rsid w:val="00C21F0B"/>
    <w:rsid w:val="00C221BD"/>
    <w:rsid w:val="00C224F5"/>
    <w:rsid w:val="00C22F23"/>
    <w:rsid w:val="00C23ED9"/>
    <w:rsid w:val="00C31052"/>
    <w:rsid w:val="00C40A05"/>
    <w:rsid w:val="00C43D43"/>
    <w:rsid w:val="00C450EA"/>
    <w:rsid w:val="00C54DFF"/>
    <w:rsid w:val="00C55A96"/>
    <w:rsid w:val="00C65AEC"/>
    <w:rsid w:val="00C7320B"/>
    <w:rsid w:val="00C73D6C"/>
    <w:rsid w:val="00C74023"/>
    <w:rsid w:val="00C7790E"/>
    <w:rsid w:val="00C77A9F"/>
    <w:rsid w:val="00C86B2F"/>
    <w:rsid w:val="00C90C88"/>
    <w:rsid w:val="00C916FE"/>
    <w:rsid w:val="00C97484"/>
    <w:rsid w:val="00CA6AF7"/>
    <w:rsid w:val="00CB0EAB"/>
    <w:rsid w:val="00CC1919"/>
    <w:rsid w:val="00CC28DC"/>
    <w:rsid w:val="00CC2FF1"/>
    <w:rsid w:val="00CC7A0F"/>
    <w:rsid w:val="00CD085D"/>
    <w:rsid w:val="00CD30A3"/>
    <w:rsid w:val="00CD6FEC"/>
    <w:rsid w:val="00CE415C"/>
    <w:rsid w:val="00CE4B1A"/>
    <w:rsid w:val="00CE5BF9"/>
    <w:rsid w:val="00CF05A0"/>
    <w:rsid w:val="00CF0835"/>
    <w:rsid w:val="00CF2372"/>
    <w:rsid w:val="00CF4E66"/>
    <w:rsid w:val="00CF5713"/>
    <w:rsid w:val="00D021E9"/>
    <w:rsid w:val="00D033E3"/>
    <w:rsid w:val="00D111FB"/>
    <w:rsid w:val="00D1438B"/>
    <w:rsid w:val="00D16EE0"/>
    <w:rsid w:val="00D17B75"/>
    <w:rsid w:val="00D204A4"/>
    <w:rsid w:val="00D261AF"/>
    <w:rsid w:val="00D31FF5"/>
    <w:rsid w:val="00D323AA"/>
    <w:rsid w:val="00D32E6C"/>
    <w:rsid w:val="00D4199C"/>
    <w:rsid w:val="00D42484"/>
    <w:rsid w:val="00D460B3"/>
    <w:rsid w:val="00D4757A"/>
    <w:rsid w:val="00D550EE"/>
    <w:rsid w:val="00D5573E"/>
    <w:rsid w:val="00D5794F"/>
    <w:rsid w:val="00D66380"/>
    <w:rsid w:val="00D664A2"/>
    <w:rsid w:val="00D70E61"/>
    <w:rsid w:val="00D731A0"/>
    <w:rsid w:val="00D74587"/>
    <w:rsid w:val="00D814AF"/>
    <w:rsid w:val="00D81947"/>
    <w:rsid w:val="00D820EF"/>
    <w:rsid w:val="00D83928"/>
    <w:rsid w:val="00D83E30"/>
    <w:rsid w:val="00D84F34"/>
    <w:rsid w:val="00D85ADF"/>
    <w:rsid w:val="00D86AC3"/>
    <w:rsid w:val="00D925F1"/>
    <w:rsid w:val="00D9669B"/>
    <w:rsid w:val="00DB1C02"/>
    <w:rsid w:val="00DB65D8"/>
    <w:rsid w:val="00DC48E0"/>
    <w:rsid w:val="00DD2358"/>
    <w:rsid w:val="00DD2ABE"/>
    <w:rsid w:val="00DD3921"/>
    <w:rsid w:val="00DD5D73"/>
    <w:rsid w:val="00DE0EB8"/>
    <w:rsid w:val="00DE1B97"/>
    <w:rsid w:val="00DE583A"/>
    <w:rsid w:val="00DF2C7A"/>
    <w:rsid w:val="00DF363C"/>
    <w:rsid w:val="00DF546D"/>
    <w:rsid w:val="00E012A8"/>
    <w:rsid w:val="00E01D13"/>
    <w:rsid w:val="00E0291F"/>
    <w:rsid w:val="00E05D16"/>
    <w:rsid w:val="00E10776"/>
    <w:rsid w:val="00E12CD5"/>
    <w:rsid w:val="00E1315F"/>
    <w:rsid w:val="00E15642"/>
    <w:rsid w:val="00E15A82"/>
    <w:rsid w:val="00E16DCD"/>
    <w:rsid w:val="00E203BC"/>
    <w:rsid w:val="00E22517"/>
    <w:rsid w:val="00E26220"/>
    <w:rsid w:val="00E2746B"/>
    <w:rsid w:val="00E3189D"/>
    <w:rsid w:val="00E33B5A"/>
    <w:rsid w:val="00E367FC"/>
    <w:rsid w:val="00E44AD9"/>
    <w:rsid w:val="00E44F9C"/>
    <w:rsid w:val="00E46E92"/>
    <w:rsid w:val="00E528F0"/>
    <w:rsid w:val="00E53FD1"/>
    <w:rsid w:val="00E565B3"/>
    <w:rsid w:val="00E573A7"/>
    <w:rsid w:val="00E61718"/>
    <w:rsid w:val="00E65990"/>
    <w:rsid w:val="00E72D4E"/>
    <w:rsid w:val="00E7447C"/>
    <w:rsid w:val="00E7799A"/>
    <w:rsid w:val="00E77CD6"/>
    <w:rsid w:val="00E842F6"/>
    <w:rsid w:val="00E92C8D"/>
    <w:rsid w:val="00E9509C"/>
    <w:rsid w:val="00EA3876"/>
    <w:rsid w:val="00EA6DC4"/>
    <w:rsid w:val="00EB17CC"/>
    <w:rsid w:val="00EB46A3"/>
    <w:rsid w:val="00EB487A"/>
    <w:rsid w:val="00EB63A1"/>
    <w:rsid w:val="00EB6467"/>
    <w:rsid w:val="00EB75D2"/>
    <w:rsid w:val="00EC0C51"/>
    <w:rsid w:val="00EC39CB"/>
    <w:rsid w:val="00EC5CC2"/>
    <w:rsid w:val="00ED727C"/>
    <w:rsid w:val="00EE341D"/>
    <w:rsid w:val="00EE7A50"/>
    <w:rsid w:val="00EF06F4"/>
    <w:rsid w:val="00F013B1"/>
    <w:rsid w:val="00F035A1"/>
    <w:rsid w:val="00F100EA"/>
    <w:rsid w:val="00F10F64"/>
    <w:rsid w:val="00F13571"/>
    <w:rsid w:val="00F20AA2"/>
    <w:rsid w:val="00F2698B"/>
    <w:rsid w:val="00F30DB0"/>
    <w:rsid w:val="00F37067"/>
    <w:rsid w:val="00F40072"/>
    <w:rsid w:val="00F45801"/>
    <w:rsid w:val="00F506F1"/>
    <w:rsid w:val="00F5170D"/>
    <w:rsid w:val="00F51CD5"/>
    <w:rsid w:val="00F541D2"/>
    <w:rsid w:val="00F5452E"/>
    <w:rsid w:val="00F56CB0"/>
    <w:rsid w:val="00F5762D"/>
    <w:rsid w:val="00F639B9"/>
    <w:rsid w:val="00F67BF7"/>
    <w:rsid w:val="00F74442"/>
    <w:rsid w:val="00F77EBA"/>
    <w:rsid w:val="00F80597"/>
    <w:rsid w:val="00F81551"/>
    <w:rsid w:val="00F83F03"/>
    <w:rsid w:val="00F91D01"/>
    <w:rsid w:val="00F9272B"/>
    <w:rsid w:val="00F92789"/>
    <w:rsid w:val="00F96530"/>
    <w:rsid w:val="00FA1C11"/>
    <w:rsid w:val="00FA2EE1"/>
    <w:rsid w:val="00FA326A"/>
    <w:rsid w:val="00FA38CB"/>
    <w:rsid w:val="00FB4A00"/>
    <w:rsid w:val="00FB64D8"/>
    <w:rsid w:val="00FB67E9"/>
    <w:rsid w:val="00FC0F67"/>
    <w:rsid w:val="00FC2B76"/>
    <w:rsid w:val="00FD1938"/>
    <w:rsid w:val="00FD2B99"/>
    <w:rsid w:val="00FE09F4"/>
    <w:rsid w:val="00FE0C6B"/>
    <w:rsid w:val="00FE1763"/>
    <w:rsid w:val="00FE3201"/>
    <w:rsid w:val="00FE5A53"/>
    <w:rsid w:val="00FE6D95"/>
    <w:rsid w:val="00FE6F4D"/>
    <w:rsid w:val="00FF0489"/>
    <w:rsid w:val="00FF32AF"/>
    <w:rsid w:val="00FF5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517CDF"/>
  <w15:docId w15:val="{9675E8EE-734B-4A44-BF85-BC546546F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3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A9F"/>
    <w:pPr>
      <w:spacing w:after="0" w:line="240" w:lineRule="auto"/>
    </w:pPr>
    <w:rPr>
      <w:rFonts w:ascii="Times New Roman" w:eastAsia="PMingLiU" w:hAnsi="Times New Roman" w:cs="Times New Roman"/>
      <w:lang w:val="en-US"/>
    </w:rPr>
  </w:style>
  <w:style w:type="paragraph" w:styleId="Heading1">
    <w:name w:val="heading 1"/>
    <w:aliases w:val="H1 Numb,Tomhead 1,Oscar Faber 1,Outline1,1 ghost,g,Heading 1 Char Char Char,Heading 1 Char1,Oscar Faber 11,Tomhead 11,Outline1 Char1,Heading 1 Char Char,g Char Char,Heading 1 Char Char Char Char,Section Heading,Section,a,Title Name,L1,RIP H1"/>
    <w:basedOn w:val="Normal"/>
    <w:link w:val="Heading1Char"/>
    <w:uiPriority w:val="1"/>
    <w:qFormat/>
    <w:rsid w:val="00C77A9F"/>
    <w:pPr>
      <w:widowControl w:val="0"/>
      <w:autoSpaceDE w:val="0"/>
      <w:autoSpaceDN w:val="0"/>
      <w:spacing w:before="60"/>
      <w:ind w:left="808"/>
      <w:outlineLvl w:val="0"/>
    </w:pPr>
    <w:rPr>
      <w:rFonts w:eastAsia="Times New Roman"/>
      <w:b/>
      <w:bCs/>
      <w:sz w:val="24"/>
      <w:szCs w:val="24"/>
    </w:rPr>
  </w:style>
  <w:style w:type="paragraph" w:styleId="Heading2">
    <w:name w:val="heading 2"/>
    <w:aliases w:val="H2 Numb,Tomhead 2,Oscar Faber 2,Outline2,H2,Annex2,b,h2,2,l2,list + change bar,Major,h 3,Numbered - 2,Major Char,MOVE-it 2,o,Outline2 Char Char,Heading 21,Tomhead 21,Heading 2 Char1 Char Char Char,Heading 2 Char1 Char Char Char Char,Heading 22"/>
    <w:basedOn w:val="Normal"/>
    <w:next w:val="Normal"/>
    <w:link w:val="Heading2Char"/>
    <w:uiPriority w:val="1"/>
    <w:unhideWhenUsed/>
    <w:qFormat/>
    <w:rsid w:val="00C77A9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H3 Numb,Main Text,Heading 3 Tom,Oscar Faber 3,Outline3,level 3,bold italic,Heading 3 Char Char,Heading 31 Char,Heading 32,Heading 3 Char Char2,Heading 3 Char Char3 Char Char Char Char Char Char Char Char,Heading 3 Char Char Char Char Char"/>
    <w:basedOn w:val="Normal"/>
    <w:next w:val="BodyText"/>
    <w:link w:val="Heading3Char"/>
    <w:uiPriority w:val="1"/>
    <w:qFormat/>
    <w:rsid w:val="00324069"/>
    <w:pPr>
      <w:keepNext/>
      <w:keepLines/>
      <w:spacing w:before="240" w:after="40"/>
      <w:ind w:left="1021" w:hanging="1021"/>
      <w:outlineLvl w:val="2"/>
    </w:pPr>
    <w:rPr>
      <w:rFonts w:ascii="Arial" w:eastAsia="Times New Roman" w:hAnsi="Arial"/>
      <w:bCs/>
      <w:color w:val="ED7D31" w:themeColor="accent2"/>
      <w:sz w:val="26"/>
      <w:lang w:val="en-GB"/>
    </w:rPr>
  </w:style>
  <w:style w:type="paragraph" w:styleId="Heading4">
    <w:name w:val="heading 4"/>
    <w:aliases w:val="H4 Numb"/>
    <w:basedOn w:val="Normal"/>
    <w:next w:val="BodyText"/>
    <w:link w:val="Heading4Char"/>
    <w:uiPriority w:val="1"/>
    <w:qFormat/>
    <w:rsid w:val="00324069"/>
    <w:pPr>
      <w:keepNext/>
      <w:keepLines/>
      <w:tabs>
        <w:tab w:val="num" w:pos="5103"/>
      </w:tabs>
      <w:spacing w:before="240" w:after="40"/>
      <w:ind w:left="1021" w:hanging="1021"/>
      <w:outlineLvl w:val="3"/>
    </w:pPr>
    <w:rPr>
      <w:rFonts w:ascii="Arial" w:eastAsia="Times New Roman" w:hAnsi="Arial"/>
      <w:bCs/>
      <w:iCs/>
      <w:color w:val="ED7D31" w:themeColor="accent2"/>
      <w:sz w:val="20"/>
      <w:lang w:val="en-GB"/>
    </w:rPr>
  </w:style>
  <w:style w:type="paragraph" w:styleId="Heading5">
    <w:name w:val="heading 5"/>
    <w:aliases w:val="H5 Numb"/>
    <w:basedOn w:val="Normal"/>
    <w:next w:val="BodyText"/>
    <w:link w:val="Heading5Char"/>
    <w:uiPriority w:val="1"/>
    <w:qFormat/>
    <w:rsid w:val="00324069"/>
    <w:pPr>
      <w:keepNext/>
      <w:keepLines/>
      <w:spacing w:before="240" w:after="40"/>
      <w:ind w:left="1021" w:hanging="1021"/>
      <w:outlineLvl w:val="4"/>
    </w:pPr>
    <w:rPr>
      <w:rFonts w:ascii="Arial" w:eastAsia="Times New Roman" w:hAnsi="Arial"/>
      <w:color w:val="ED7D31" w:themeColor="accent2"/>
      <w:sz w:val="20"/>
      <w:lang w:val="en-GB"/>
    </w:rPr>
  </w:style>
  <w:style w:type="paragraph" w:styleId="Heading6">
    <w:name w:val="heading 6"/>
    <w:aliases w:val="APP1 Numb,Appendix Header 1"/>
    <w:basedOn w:val="Normal"/>
    <w:next w:val="Heading7"/>
    <w:link w:val="Heading6Char"/>
    <w:uiPriority w:val="19"/>
    <w:qFormat/>
    <w:rsid w:val="00324069"/>
    <w:pPr>
      <w:keepNext/>
      <w:keepLines/>
      <w:pageBreakBefore/>
      <w:tabs>
        <w:tab w:val="left" w:pos="2948"/>
      </w:tabs>
      <w:spacing w:after="360"/>
      <w:ind w:left="4708" w:hanging="1021"/>
      <w:outlineLvl w:val="5"/>
    </w:pPr>
    <w:rPr>
      <w:rFonts w:ascii="Arial" w:eastAsia="Times New Roman" w:hAnsi="Arial"/>
      <w:iCs/>
      <w:color w:val="ED7D31" w:themeColor="accent2"/>
      <w:sz w:val="48"/>
      <w:lang w:val="en-GB"/>
    </w:rPr>
  </w:style>
  <w:style w:type="paragraph" w:styleId="Heading7">
    <w:name w:val="heading 7"/>
    <w:aliases w:val="APP2 Numb,Appendix Header 2"/>
    <w:basedOn w:val="Normal"/>
    <w:link w:val="Heading7Char"/>
    <w:uiPriority w:val="19"/>
    <w:qFormat/>
    <w:rsid w:val="00324069"/>
    <w:pPr>
      <w:keepNext/>
      <w:keepLines/>
      <w:spacing w:before="360" w:after="40"/>
      <w:ind w:left="1021" w:hanging="1021"/>
      <w:outlineLvl w:val="6"/>
    </w:pPr>
    <w:rPr>
      <w:rFonts w:ascii="Arial" w:eastAsia="Times New Roman" w:hAnsi="Arial"/>
      <w:iCs/>
      <w:color w:val="ED7D31" w:themeColor="accent2"/>
      <w:sz w:val="30"/>
      <w:lang w:val="en-GB"/>
    </w:rPr>
  </w:style>
  <w:style w:type="paragraph" w:styleId="Heading8">
    <w:name w:val="heading 8"/>
    <w:basedOn w:val="Normal"/>
    <w:link w:val="Heading8Char"/>
    <w:uiPriority w:val="19"/>
    <w:qFormat/>
    <w:rsid w:val="00324069"/>
    <w:pPr>
      <w:keepNext/>
      <w:keepLines/>
      <w:spacing w:before="240" w:after="40"/>
      <w:ind w:left="1021" w:hanging="1021"/>
      <w:outlineLvl w:val="7"/>
    </w:pPr>
    <w:rPr>
      <w:rFonts w:ascii="Arial" w:eastAsia="Times New Roman" w:hAnsi="Arial"/>
      <w:color w:val="ED7D31" w:themeColor="accent2"/>
      <w:sz w:val="26"/>
      <w:szCs w:val="20"/>
      <w:lang w:val="en-GB"/>
    </w:rPr>
  </w:style>
  <w:style w:type="paragraph" w:styleId="Heading9">
    <w:name w:val="heading 9"/>
    <w:basedOn w:val="Normal"/>
    <w:link w:val="Heading9Char"/>
    <w:uiPriority w:val="19"/>
    <w:qFormat/>
    <w:rsid w:val="00324069"/>
    <w:pPr>
      <w:keepNext/>
      <w:keepLines/>
      <w:spacing w:before="240" w:after="40"/>
      <w:ind w:left="1021" w:hanging="1021"/>
      <w:outlineLvl w:val="8"/>
    </w:pPr>
    <w:rPr>
      <w:rFonts w:ascii="Arial" w:eastAsia="Times New Roman" w:hAnsi="Arial"/>
      <w:iCs/>
      <w:color w:val="ED7D31" w:themeColor="accent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Numb Char,Tomhead 1 Char,Oscar Faber 1 Char,Outline1 Char,1 ghost Char,g Char,Heading 1 Char Char Char Char1,Heading 1 Char1 Char,Oscar Faber 11 Char,Tomhead 11 Char,Outline1 Char1 Char,Heading 1 Char Char Char1,g Char Char Char,a Char"/>
    <w:basedOn w:val="DefaultParagraphFont"/>
    <w:link w:val="Heading1"/>
    <w:uiPriority w:val="1"/>
    <w:rsid w:val="00C77A9F"/>
    <w:rPr>
      <w:rFonts w:ascii="Times New Roman" w:eastAsia="Times New Roman" w:hAnsi="Times New Roman" w:cs="Times New Roman"/>
      <w:b/>
      <w:bCs/>
      <w:sz w:val="24"/>
      <w:szCs w:val="24"/>
      <w:lang w:val="en-US"/>
    </w:rPr>
  </w:style>
  <w:style w:type="character" w:customStyle="1" w:styleId="Heading2Char">
    <w:name w:val="Heading 2 Char"/>
    <w:aliases w:val="H2 Numb Char,Tomhead 2 Char,Oscar Faber 2 Char,Outline2 Char,H2 Char,Annex2 Char,b Char,h2 Char,2 Char,l2 Char,list + change bar Char,Major Char1,h 3 Char,Numbered - 2 Char,Major Char Char,MOVE-it 2 Char,o Char,Outline2 Char Char Char"/>
    <w:basedOn w:val="DefaultParagraphFont"/>
    <w:link w:val="Heading2"/>
    <w:uiPriority w:val="9"/>
    <w:rsid w:val="00C77A9F"/>
    <w:rPr>
      <w:rFonts w:asciiTheme="majorHAnsi" w:eastAsiaTheme="majorEastAsia" w:hAnsiTheme="majorHAnsi" w:cstheme="majorBidi"/>
      <w:color w:val="2F5496" w:themeColor="accent1" w:themeShade="BF"/>
      <w:sz w:val="26"/>
      <w:szCs w:val="26"/>
      <w:lang w:val="en-US"/>
    </w:rPr>
  </w:style>
  <w:style w:type="paragraph" w:styleId="ListParagraph">
    <w:name w:val="List Paragraph"/>
    <w:aliases w:val="Quod Section Heading 1,List Paragraph1,List Paragraph11"/>
    <w:basedOn w:val="Normal"/>
    <w:uiPriority w:val="34"/>
    <w:qFormat/>
    <w:rsid w:val="00C77A9F"/>
    <w:pPr>
      <w:ind w:left="720"/>
      <w:contextualSpacing/>
    </w:pPr>
  </w:style>
  <w:style w:type="paragraph" w:customStyle="1" w:styleId="Default">
    <w:name w:val="Default"/>
    <w:rsid w:val="00C77A9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77A9F"/>
    <w:pPr>
      <w:tabs>
        <w:tab w:val="center" w:pos="4513"/>
        <w:tab w:val="right" w:pos="9026"/>
      </w:tabs>
    </w:pPr>
  </w:style>
  <w:style w:type="character" w:customStyle="1" w:styleId="HeaderChar">
    <w:name w:val="Header Char"/>
    <w:basedOn w:val="DefaultParagraphFont"/>
    <w:link w:val="Header"/>
    <w:uiPriority w:val="99"/>
    <w:rsid w:val="00C77A9F"/>
    <w:rPr>
      <w:rFonts w:ascii="Times New Roman" w:eastAsia="PMingLiU" w:hAnsi="Times New Roman" w:cs="Times New Roman"/>
      <w:lang w:val="en-US"/>
    </w:rPr>
  </w:style>
  <w:style w:type="paragraph" w:styleId="Footer">
    <w:name w:val="footer"/>
    <w:basedOn w:val="Normal"/>
    <w:link w:val="FooterChar"/>
    <w:uiPriority w:val="99"/>
    <w:unhideWhenUsed/>
    <w:rsid w:val="00C77A9F"/>
    <w:pPr>
      <w:tabs>
        <w:tab w:val="center" w:pos="4513"/>
        <w:tab w:val="right" w:pos="9026"/>
      </w:tabs>
    </w:pPr>
  </w:style>
  <w:style w:type="character" w:customStyle="1" w:styleId="FooterChar">
    <w:name w:val="Footer Char"/>
    <w:basedOn w:val="DefaultParagraphFont"/>
    <w:link w:val="Footer"/>
    <w:uiPriority w:val="99"/>
    <w:rsid w:val="00C77A9F"/>
    <w:rPr>
      <w:rFonts w:ascii="Times New Roman" w:eastAsia="PMingLiU" w:hAnsi="Times New Roman" w:cs="Times New Roman"/>
      <w:lang w:val="en-US"/>
    </w:rPr>
  </w:style>
  <w:style w:type="paragraph" w:customStyle="1" w:styleId="04NumberedBodyTextCenturyGothic">
    <w:name w:val="04 Numbered Body Text + Century Gothic"/>
    <w:basedOn w:val="Normal"/>
    <w:rsid w:val="00C77A9F"/>
    <w:pPr>
      <w:spacing w:after="240" w:line="300" w:lineRule="auto"/>
    </w:pPr>
    <w:rPr>
      <w:rFonts w:ascii="Century Gothic" w:eastAsia="Times New Roman" w:hAnsi="Century Gothic"/>
      <w:sz w:val="20"/>
      <w:szCs w:val="20"/>
      <w:lang w:val="en-GB"/>
    </w:rPr>
  </w:style>
  <w:style w:type="paragraph" w:styleId="Title">
    <w:name w:val="Title"/>
    <w:basedOn w:val="Normal"/>
    <w:next w:val="Normal"/>
    <w:link w:val="TitleChar"/>
    <w:uiPriority w:val="10"/>
    <w:qFormat/>
    <w:rsid w:val="00C77A9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7A9F"/>
    <w:rPr>
      <w:rFonts w:asciiTheme="majorHAnsi" w:eastAsiaTheme="majorEastAsia" w:hAnsiTheme="majorHAnsi" w:cstheme="majorBidi"/>
      <w:spacing w:val="-10"/>
      <w:kern w:val="28"/>
      <w:sz w:val="56"/>
      <w:szCs w:val="56"/>
      <w:lang w:val="en-US"/>
    </w:rPr>
  </w:style>
  <w:style w:type="paragraph" w:styleId="TOCHeading">
    <w:name w:val="TOC Heading"/>
    <w:basedOn w:val="Heading1"/>
    <w:next w:val="Normal"/>
    <w:uiPriority w:val="39"/>
    <w:unhideWhenUsed/>
    <w:qFormat/>
    <w:rsid w:val="00C77A9F"/>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rPr>
  </w:style>
  <w:style w:type="paragraph" w:styleId="NoSpacing">
    <w:name w:val="No Spacing"/>
    <w:uiPriority w:val="1"/>
    <w:qFormat/>
    <w:rsid w:val="00C77A9F"/>
    <w:pPr>
      <w:spacing w:after="0" w:line="240" w:lineRule="auto"/>
    </w:pPr>
    <w:rPr>
      <w:rFonts w:ascii="Times New Roman" w:eastAsia="PMingLiU" w:hAnsi="Times New Roman" w:cs="Times New Roman"/>
      <w:lang w:val="en-US"/>
    </w:rPr>
  </w:style>
  <w:style w:type="paragraph" w:styleId="TOC2">
    <w:name w:val="toc 2"/>
    <w:basedOn w:val="Normal"/>
    <w:next w:val="Normal"/>
    <w:autoRedefine/>
    <w:uiPriority w:val="39"/>
    <w:unhideWhenUsed/>
    <w:rsid w:val="00C77A9F"/>
    <w:pPr>
      <w:spacing w:after="100"/>
      <w:ind w:left="220"/>
    </w:pPr>
  </w:style>
  <w:style w:type="character" w:styleId="Hyperlink">
    <w:name w:val="Hyperlink"/>
    <w:basedOn w:val="DefaultParagraphFont"/>
    <w:uiPriority w:val="99"/>
    <w:unhideWhenUsed/>
    <w:rsid w:val="00C77A9F"/>
    <w:rPr>
      <w:color w:val="0563C1" w:themeColor="hyperlink"/>
      <w:u w:val="single"/>
    </w:rPr>
  </w:style>
  <w:style w:type="paragraph" w:styleId="TOC1">
    <w:name w:val="toc 1"/>
    <w:basedOn w:val="Normal"/>
    <w:next w:val="Normal"/>
    <w:autoRedefine/>
    <w:uiPriority w:val="39"/>
    <w:unhideWhenUsed/>
    <w:rsid w:val="00C77A9F"/>
    <w:pPr>
      <w:spacing w:after="100" w:line="259" w:lineRule="auto"/>
    </w:pPr>
    <w:rPr>
      <w:rFonts w:asciiTheme="minorHAnsi" w:eastAsiaTheme="minorEastAsia" w:hAnsiTheme="minorHAnsi"/>
    </w:rPr>
  </w:style>
  <w:style w:type="paragraph" w:styleId="TOC3">
    <w:name w:val="toc 3"/>
    <w:basedOn w:val="Normal"/>
    <w:next w:val="Normal"/>
    <w:autoRedefine/>
    <w:uiPriority w:val="39"/>
    <w:unhideWhenUsed/>
    <w:rsid w:val="00C77A9F"/>
    <w:pPr>
      <w:spacing w:after="100" w:line="259" w:lineRule="auto"/>
      <w:ind w:left="440"/>
    </w:pPr>
    <w:rPr>
      <w:rFonts w:asciiTheme="minorHAnsi" w:eastAsiaTheme="minorEastAsia" w:hAnsiTheme="minorHAnsi"/>
    </w:rPr>
  </w:style>
  <w:style w:type="paragraph" w:styleId="BodyText">
    <w:name w:val="Body Text"/>
    <w:basedOn w:val="Normal"/>
    <w:link w:val="BodyTextChar"/>
    <w:uiPriority w:val="39"/>
    <w:qFormat/>
    <w:rsid w:val="00542A67"/>
    <w:pPr>
      <w:spacing w:after="240" w:line="240" w:lineRule="atLeast"/>
      <w:jc w:val="both"/>
    </w:pPr>
    <w:rPr>
      <w:rFonts w:ascii="Arial" w:eastAsia="Times New Roman" w:hAnsi="Arial"/>
      <w:sz w:val="21"/>
      <w:szCs w:val="21"/>
      <w:lang w:val="en-GB" w:eastAsia="en-GB"/>
    </w:rPr>
  </w:style>
  <w:style w:type="character" w:customStyle="1" w:styleId="BodyTextChar">
    <w:name w:val="Body Text Char"/>
    <w:basedOn w:val="DefaultParagraphFont"/>
    <w:link w:val="BodyText"/>
    <w:uiPriority w:val="39"/>
    <w:rsid w:val="00542A67"/>
    <w:rPr>
      <w:rFonts w:ascii="Arial" w:eastAsia="Times New Roman" w:hAnsi="Arial" w:cs="Times New Roman"/>
      <w:sz w:val="21"/>
      <w:szCs w:val="21"/>
      <w:lang w:eastAsia="en-GB"/>
    </w:rPr>
  </w:style>
  <w:style w:type="paragraph" w:styleId="ListBullet4">
    <w:name w:val="List Bullet 4"/>
    <w:basedOn w:val="Normal"/>
    <w:autoRedefine/>
    <w:semiHidden/>
    <w:rsid w:val="00542A67"/>
    <w:pPr>
      <w:numPr>
        <w:numId w:val="4"/>
      </w:numPr>
      <w:spacing w:line="240" w:lineRule="atLeast"/>
      <w:jc w:val="both"/>
    </w:pPr>
    <w:rPr>
      <w:rFonts w:ascii="Arial" w:eastAsia="Times New Roman" w:hAnsi="Arial"/>
      <w:sz w:val="21"/>
      <w:szCs w:val="21"/>
      <w:lang w:val="en-GB" w:eastAsia="en-GB"/>
    </w:rPr>
  </w:style>
  <w:style w:type="paragraph" w:customStyle="1" w:styleId="Paragraph2">
    <w:name w:val="Paragraph 2"/>
    <w:basedOn w:val="BodyText"/>
    <w:next w:val="BodyText2"/>
    <w:uiPriority w:val="29"/>
    <w:qFormat/>
    <w:rsid w:val="00542A67"/>
    <w:pPr>
      <w:tabs>
        <w:tab w:val="num" w:pos="720"/>
      </w:tabs>
      <w:ind w:left="720" w:hanging="720"/>
    </w:pPr>
  </w:style>
  <w:style w:type="paragraph" w:customStyle="1" w:styleId="Paragraph3">
    <w:name w:val="Paragraph 3"/>
    <w:basedOn w:val="BodyText"/>
    <w:next w:val="BodyText3"/>
    <w:uiPriority w:val="29"/>
    <w:qFormat/>
    <w:rsid w:val="00542A67"/>
    <w:pPr>
      <w:tabs>
        <w:tab w:val="num" w:pos="1440"/>
      </w:tabs>
      <w:ind w:left="1440" w:hanging="720"/>
    </w:pPr>
  </w:style>
  <w:style w:type="paragraph" w:customStyle="1" w:styleId="Paragraph4">
    <w:name w:val="Paragraph 4"/>
    <w:basedOn w:val="BodyText"/>
    <w:next w:val="Normal"/>
    <w:uiPriority w:val="29"/>
    <w:qFormat/>
    <w:rsid w:val="00542A67"/>
    <w:pPr>
      <w:ind w:left="2160" w:hanging="720"/>
    </w:pPr>
  </w:style>
  <w:style w:type="paragraph" w:customStyle="1" w:styleId="Paragraph5">
    <w:name w:val="Paragraph 5"/>
    <w:basedOn w:val="BodyText"/>
    <w:next w:val="Normal"/>
    <w:uiPriority w:val="29"/>
    <w:qFormat/>
    <w:rsid w:val="00542A67"/>
    <w:pPr>
      <w:ind w:left="2880" w:hanging="720"/>
    </w:pPr>
  </w:style>
  <w:style w:type="paragraph" w:customStyle="1" w:styleId="Paragraph6">
    <w:name w:val="Paragraph 6"/>
    <w:basedOn w:val="BodyText"/>
    <w:next w:val="Normal"/>
    <w:uiPriority w:val="29"/>
    <w:qFormat/>
    <w:rsid w:val="00542A67"/>
    <w:pPr>
      <w:ind w:left="3600" w:hanging="720"/>
    </w:pPr>
  </w:style>
  <w:style w:type="paragraph" w:customStyle="1" w:styleId="RestartNumbering">
    <w:name w:val="Restart Numbering"/>
    <w:basedOn w:val="Normal"/>
    <w:uiPriority w:val="19"/>
    <w:rsid w:val="00542A67"/>
    <w:pPr>
      <w:spacing w:line="276" w:lineRule="auto"/>
    </w:pPr>
    <w:rPr>
      <w:rFonts w:ascii="Arial" w:eastAsiaTheme="minorHAnsi" w:hAnsi="Arial" w:cstheme="minorBidi"/>
      <w:vanish/>
      <w:color w:val="00B050"/>
      <w:sz w:val="21"/>
      <w:lang w:val="en-GB"/>
    </w:rPr>
  </w:style>
  <w:style w:type="numbering" w:customStyle="1" w:styleId="NumberingMain">
    <w:name w:val="Numbering Main"/>
    <w:uiPriority w:val="99"/>
    <w:rsid w:val="00542A67"/>
    <w:pPr>
      <w:numPr>
        <w:numId w:val="5"/>
      </w:numPr>
    </w:pPr>
  </w:style>
  <w:style w:type="paragraph" w:styleId="BodyText2">
    <w:name w:val="Body Text 2"/>
    <w:basedOn w:val="Normal"/>
    <w:link w:val="BodyText2Char"/>
    <w:uiPriority w:val="99"/>
    <w:unhideWhenUsed/>
    <w:rsid w:val="00542A67"/>
    <w:pPr>
      <w:spacing w:after="120" w:line="480" w:lineRule="auto"/>
    </w:pPr>
  </w:style>
  <w:style w:type="character" w:customStyle="1" w:styleId="BodyText2Char">
    <w:name w:val="Body Text 2 Char"/>
    <w:basedOn w:val="DefaultParagraphFont"/>
    <w:link w:val="BodyText2"/>
    <w:uiPriority w:val="99"/>
    <w:rsid w:val="00542A67"/>
    <w:rPr>
      <w:rFonts w:ascii="Times New Roman" w:eastAsia="PMingLiU" w:hAnsi="Times New Roman" w:cs="Times New Roman"/>
      <w:lang w:val="en-US"/>
    </w:rPr>
  </w:style>
  <w:style w:type="paragraph" w:styleId="BodyText3">
    <w:name w:val="Body Text 3"/>
    <w:basedOn w:val="Normal"/>
    <w:link w:val="BodyText3Char"/>
    <w:uiPriority w:val="99"/>
    <w:semiHidden/>
    <w:unhideWhenUsed/>
    <w:rsid w:val="00542A67"/>
    <w:pPr>
      <w:spacing w:after="120"/>
    </w:pPr>
    <w:rPr>
      <w:sz w:val="16"/>
      <w:szCs w:val="16"/>
    </w:rPr>
  </w:style>
  <w:style w:type="character" w:customStyle="1" w:styleId="BodyText3Char">
    <w:name w:val="Body Text 3 Char"/>
    <w:basedOn w:val="DefaultParagraphFont"/>
    <w:link w:val="BodyText3"/>
    <w:uiPriority w:val="99"/>
    <w:semiHidden/>
    <w:rsid w:val="00542A67"/>
    <w:rPr>
      <w:rFonts w:ascii="Times New Roman" w:eastAsia="PMingLiU" w:hAnsi="Times New Roman" w:cs="Times New Roman"/>
      <w:sz w:val="16"/>
      <w:szCs w:val="16"/>
      <w:lang w:val="en-US"/>
    </w:rPr>
  </w:style>
  <w:style w:type="paragraph" w:customStyle="1" w:styleId="BodyText1">
    <w:name w:val="Body Text 1"/>
    <w:basedOn w:val="BodyText"/>
    <w:next w:val="BodyText2"/>
    <w:uiPriority w:val="39"/>
    <w:qFormat/>
    <w:rsid w:val="00217089"/>
    <w:pPr>
      <w:ind w:left="720"/>
    </w:pPr>
  </w:style>
  <w:style w:type="paragraph" w:styleId="BalloonText">
    <w:name w:val="Balloon Text"/>
    <w:basedOn w:val="Normal"/>
    <w:link w:val="BalloonTextChar"/>
    <w:uiPriority w:val="99"/>
    <w:semiHidden/>
    <w:unhideWhenUsed/>
    <w:rsid w:val="003B34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445"/>
    <w:rPr>
      <w:rFonts w:ascii="Segoe UI" w:eastAsia="PMingLiU" w:hAnsi="Segoe UI" w:cs="Segoe UI"/>
      <w:sz w:val="18"/>
      <w:szCs w:val="18"/>
      <w:lang w:val="en-US"/>
    </w:rPr>
  </w:style>
  <w:style w:type="character" w:customStyle="1" w:styleId="Heading3Char">
    <w:name w:val="Heading 3 Char"/>
    <w:aliases w:val="H3 Numb Char,Main Text Char,Heading 3 Tom Char,Oscar Faber 3 Char,Outline3 Char,level 3 Char,bold italic Char,Heading 3 Char Char Char,Heading 31 Char Char,Heading 32 Char,Heading 3 Char Char2 Char,Heading 3 Char Char Char Char Char Char"/>
    <w:basedOn w:val="DefaultParagraphFont"/>
    <w:link w:val="Heading3"/>
    <w:uiPriority w:val="1"/>
    <w:rsid w:val="00324069"/>
    <w:rPr>
      <w:rFonts w:ascii="Arial" w:eastAsia="Times New Roman" w:hAnsi="Arial" w:cs="Times New Roman"/>
      <w:bCs/>
      <w:color w:val="ED7D31" w:themeColor="accent2"/>
      <w:sz w:val="26"/>
    </w:rPr>
  </w:style>
  <w:style w:type="character" w:customStyle="1" w:styleId="Heading4Char">
    <w:name w:val="Heading 4 Char"/>
    <w:aliases w:val="H4 Numb Char"/>
    <w:basedOn w:val="DefaultParagraphFont"/>
    <w:link w:val="Heading4"/>
    <w:uiPriority w:val="1"/>
    <w:rsid w:val="00324069"/>
    <w:rPr>
      <w:rFonts w:ascii="Arial" w:eastAsia="Times New Roman" w:hAnsi="Arial" w:cs="Times New Roman"/>
      <w:bCs/>
      <w:iCs/>
      <w:color w:val="ED7D31" w:themeColor="accent2"/>
      <w:sz w:val="20"/>
    </w:rPr>
  </w:style>
  <w:style w:type="character" w:customStyle="1" w:styleId="Heading5Char">
    <w:name w:val="Heading 5 Char"/>
    <w:aliases w:val="H5 Numb Char"/>
    <w:basedOn w:val="DefaultParagraphFont"/>
    <w:link w:val="Heading5"/>
    <w:uiPriority w:val="1"/>
    <w:rsid w:val="00324069"/>
    <w:rPr>
      <w:rFonts w:ascii="Arial" w:eastAsia="Times New Roman" w:hAnsi="Arial" w:cs="Times New Roman"/>
      <w:color w:val="ED7D31" w:themeColor="accent2"/>
      <w:sz w:val="20"/>
    </w:rPr>
  </w:style>
  <w:style w:type="character" w:customStyle="1" w:styleId="Heading6Char">
    <w:name w:val="Heading 6 Char"/>
    <w:aliases w:val="APP1 Numb Char,Appendix Header 1 Char"/>
    <w:basedOn w:val="DefaultParagraphFont"/>
    <w:link w:val="Heading6"/>
    <w:uiPriority w:val="19"/>
    <w:rsid w:val="00324069"/>
    <w:rPr>
      <w:rFonts w:ascii="Arial" w:eastAsia="Times New Roman" w:hAnsi="Arial" w:cs="Times New Roman"/>
      <w:iCs/>
      <w:color w:val="ED7D31" w:themeColor="accent2"/>
      <w:sz w:val="48"/>
    </w:rPr>
  </w:style>
  <w:style w:type="character" w:customStyle="1" w:styleId="Heading7Char">
    <w:name w:val="Heading 7 Char"/>
    <w:aliases w:val="APP2 Numb Char,Appendix Header 2 Char"/>
    <w:basedOn w:val="DefaultParagraphFont"/>
    <w:link w:val="Heading7"/>
    <w:uiPriority w:val="19"/>
    <w:rsid w:val="00324069"/>
    <w:rPr>
      <w:rFonts w:ascii="Arial" w:eastAsia="Times New Roman" w:hAnsi="Arial" w:cs="Times New Roman"/>
      <w:iCs/>
      <w:color w:val="ED7D31" w:themeColor="accent2"/>
      <w:sz w:val="30"/>
    </w:rPr>
  </w:style>
  <w:style w:type="character" w:customStyle="1" w:styleId="Heading8Char">
    <w:name w:val="Heading 8 Char"/>
    <w:basedOn w:val="DefaultParagraphFont"/>
    <w:link w:val="Heading8"/>
    <w:uiPriority w:val="19"/>
    <w:rsid w:val="00324069"/>
    <w:rPr>
      <w:rFonts w:ascii="Arial" w:eastAsia="Times New Roman" w:hAnsi="Arial" w:cs="Times New Roman"/>
      <w:color w:val="ED7D31" w:themeColor="accent2"/>
      <w:sz w:val="26"/>
      <w:szCs w:val="20"/>
    </w:rPr>
  </w:style>
  <w:style w:type="character" w:customStyle="1" w:styleId="Heading9Char">
    <w:name w:val="Heading 9 Char"/>
    <w:basedOn w:val="DefaultParagraphFont"/>
    <w:link w:val="Heading9"/>
    <w:uiPriority w:val="19"/>
    <w:rsid w:val="00324069"/>
    <w:rPr>
      <w:rFonts w:ascii="Arial" w:eastAsia="Times New Roman" w:hAnsi="Arial" w:cs="Times New Roman"/>
      <w:iCs/>
      <w:color w:val="ED7D31" w:themeColor="accent2"/>
      <w:szCs w:val="20"/>
    </w:rPr>
  </w:style>
  <w:style w:type="paragraph" w:customStyle="1" w:styleId="ListBulletLast">
    <w:name w:val="List Bullet Last"/>
    <w:autoRedefine/>
    <w:qFormat/>
    <w:rsid w:val="00324069"/>
    <w:pPr>
      <w:keepLines/>
      <w:numPr>
        <w:numId w:val="32"/>
      </w:numPr>
      <w:spacing w:after="80" w:line="240" w:lineRule="auto"/>
      <w:jc w:val="both"/>
    </w:pPr>
    <w:rPr>
      <w:rFonts w:ascii="Arial" w:hAnsi="Arial"/>
      <w:color w:val="636363"/>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78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E6C99DE4A2C5479CDDFA23B6F8E041" ma:contentTypeVersion="6" ma:contentTypeDescription="Create a new document." ma:contentTypeScope="" ma:versionID="486d6f99ea8d8fc7948b29a396f7dbe1">
  <xsd:schema xmlns:xsd="http://www.w3.org/2001/XMLSchema" xmlns:xs="http://www.w3.org/2001/XMLSchema" xmlns:p="http://schemas.microsoft.com/office/2006/metadata/properties" xmlns:ns2="8ae6fa80-ff9a-4627-ae77-ac5a70456f00" xmlns:ns3="17fb8a7d-46fb-4e55-a3b9-c39a6f2bb036" targetNamespace="http://schemas.microsoft.com/office/2006/metadata/properties" ma:root="true" ma:fieldsID="1d261cc525eb4902773a806b7ef2f105" ns2:_="" ns3:_="">
    <xsd:import namespace="8ae6fa80-ff9a-4627-ae77-ac5a70456f00"/>
    <xsd:import namespace="17fb8a7d-46fb-4e55-a3b9-c39a6f2bb0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e6fa80-ff9a-4627-ae77-ac5a70456f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fb8a7d-46fb-4e55-a3b9-c39a6f2bb0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F13E0-109C-417F-A4E9-20A71C068458}">
  <ds:schemaRefs>
    <ds:schemaRef ds:uri="http://purl.org/dc/elements/1.1/"/>
    <ds:schemaRef ds:uri="http://schemas.microsoft.com/office/2006/metadata/properties"/>
    <ds:schemaRef ds:uri="040f1497-d948-43a3-b256-63838586f39d"/>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3FF37AF-9936-4C78-8B9D-845E8D6A9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e6fa80-ff9a-4627-ae77-ac5a70456f00"/>
    <ds:schemaRef ds:uri="17fb8a7d-46fb-4e55-a3b9-c39a6f2bb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D586A4-FB7C-4D72-826A-5366BC2A9FD7}">
  <ds:schemaRefs>
    <ds:schemaRef ds:uri="http://schemas.microsoft.com/sharepoint/v3/contenttype/forms"/>
  </ds:schemaRefs>
</ds:datastoreItem>
</file>

<file path=customXml/itemProps4.xml><?xml version="1.0" encoding="utf-8"?>
<ds:datastoreItem xmlns:ds="http://schemas.openxmlformats.org/officeDocument/2006/customXml" ds:itemID="{96AECFC8-ECDC-4F66-B0EE-A9A2F3A71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2195</Words>
  <Characters>12517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DP9 Ltd</Company>
  <LinksUpToDate>false</LinksUpToDate>
  <CharactersWithSpaces>14683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Goddard</dc:creator>
  <cp:keywords/>
  <dc:description/>
  <cp:lastModifiedBy>Manku, Nina: WCC</cp:lastModifiedBy>
  <cp:revision>2</cp:revision>
  <dcterms:created xsi:type="dcterms:W3CDTF">2020-09-23T08:05:00Z</dcterms:created>
  <dcterms:modified xsi:type="dcterms:W3CDTF">2020-09-23T08:05:00Z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0x01010056E6C99DE4A2C5479CDDFA23B6F8E041</vt:lpwstr>
  </property>
</Properties>
</file>