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FAA6C" w14:textId="7AC5D9B7" w:rsidR="007C0FD2" w:rsidRPr="00395A61" w:rsidRDefault="00395A61" w:rsidP="00395A61">
      <w:pPr>
        <w:spacing w:line="360" w:lineRule="auto"/>
        <w:ind w:left="851" w:hanging="851"/>
        <w:jc w:val="right"/>
        <w:rPr>
          <w:rFonts w:ascii="Verdana" w:eastAsia="Times New Roman" w:hAnsi="Verdana" w:cs="Times New Roman"/>
          <w:b/>
          <w:noProof/>
          <w:sz w:val="48"/>
          <w:lang w:val="en-US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noProof/>
          <w:sz w:val="48"/>
          <w:lang w:val="en-US"/>
        </w:rPr>
        <w:t>A</w:t>
      </w:r>
      <w:r w:rsidR="005707F7">
        <w:rPr>
          <w:rFonts w:ascii="Verdana" w:eastAsia="Times New Roman" w:hAnsi="Verdana" w:cs="Times New Roman"/>
          <w:b/>
          <w:noProof/>
          <w:sz w:val="48"/>
          <w:lang w:val="en-US"/>
        </w:rPr>
        <w:t>6</w:t>
      </w:r>
    </w:p>
    <w:p w14:paraId="0339F231" w14:textId="57A2C604" w:rsidR="00BE0D03" w:rsidRPr="00E446A8" w:rsidRDefault="005707F7" w:rsidP="007C0A31">
      <w:pPr>
        <w:spacing w:line="360" w:lineRule="auto"/>
        <w:ind w:left="851" w:hanging="851"/>
        <w:jc w:val="center"/>
        <w:rPr>
          <w:rFonts w:ascii="Verdana" w:eastAsia="Times New Roman" w:hAnsi="Verdana" w:cs="Times New Roman"/>
          <w:b/>
          <w:noProof/>
          <w:lang w:val="en-US"/>
        </w:rPr>
      </w:pPr>
      <w:r>
        <w:rPr>
          <w:rFonts w:ascii="Verdana" w:eastAsia="Times New Roman" w:hAnsi="Verdana" w:cs="Times New Roman"/>
          <w:b/>
          <w:noProof/>
          <w:lang w:val="en-US"/>
        </w:rPr>
        <w:t>WESTMINSTER CITY COUNCIL</w:t>
      </w:r>
    </w:p>
    <w:p w14:paraId="610CE624" w14:textId="2787B7BC" w:rsidR="00BE0D03" w:rsidRPr="00E446A8" w:rsidRDefault="00BE0D03" w:rsidP="007C0A31">
      <w:pPr>
        <w:spacing w:line="360" w:lineRule="auto"/>
        <w:ind w:left="851" w:hanging="851"/>
        <w:jc w:val="center"/>
        <w:rPr>
          <w:rFonts w:ascii="Verdana" w:eastAsia="Times New Roman" w:hAnsi="Verdana" w:cs="Times New Roman"/>
          <w:b/>
          <w:noProof/>
          <w:lang w:val="en-US"/>
        </w:rPr>
      </w:pPr>
      <w:r w:rsidRPr="00E446A8">
        <w:rPr>
          <w:rFonts w:ascii="Verdana" w:eastAsia="Times New Roman" w:hAnsi="Verdana" w:cs="Times New Roman"/>
          <w:b/>
          <w:noProof/>
          <w:lang w:val="en-US"/>
        </w:rPr>
        <w:t>SCHOOLS</w:t>
      </w:r>
      <w:r w:rsidR="003533B2">
        <w:rPr>
          <w:rFonts w:ascii="Verdana" w:eastAsia="Times New Roman" w:hAnsi="Verdana" w:cs="Times New Roman"/>
          <w:b/>
          <w:noProof/>
          <w:lang w:val="en-US"/>
        </w:rPr>
        <w:t>’</w:t>
      </w:r>
      <w:r w:rsidRPr="00E446A8">
        <w:rPr>
          <w:rFonts w:ascii="Verdana" w:eastAsia="Times New Roman" w:hAnsi="Verdana" w:cs="Times New Roman"/>
          <w:b/>
          <w:noProof/>
          <w:lang w:val="en-US"/>
        </w:rPr>
        <w:t xml:space="preserve"> FORUM </w:t>
      </w:r>
      <w:r w:rsidR="00BD25CC">
        <w:rPr>
          <w:rFonts w:ascii="Verdana" w:eastAsia="Times New Roman" w:hAnsi="Verdana" w:cs="Times New Roman"/>
          <w:b/>
          <w:noProof/>
          <w:lang w:val="en-US"/>
        </w:rPr>
        <w:t>–</w:t>
      </w:r>
      <w:r w:rsidR="003533B2">
        <w:rPr>
          <w:rFonts w:ascii="Verdana" w:eastAsia="Times New Roman" w:hAnsi="Verdana" w:cs="Times New Roman"/>
          <w:b/>
          <w:noProof/>
          <w:lang w:val="en-US"/>
        </w:rPr>
        <w:t xml:space="preserve"> </w:t>
      </w:r>
      <w:r w:rsidR="004E342B">
        <w:rPr>
          <w:rFonts w:ascii="Verdana" w:eastAsia="Times New Roman" w:hAnsi="Verdana" w:cs="Times New Roman"/>
          <w:b/>
          <w:noProof/>
          <w:lang w:val="en-US"/>
        </w:rPr>
        <w:t>20 MARCH</w:t>
      </w:r>
      <w:r w:rsidRPr="00E446A8">
        <w:rPr>
          <w:rFonts w:ascii="Verdana" w:eastAsia="Times New Roman" w:hAnsi="Verdana" w:cs="Times New Roman"/>
          <w:b/>
          <w:noProof/>
          <w:lang w:val="en-US"/>
        </w:rPr>
        <w:t xml:space="preserve"> 201</w:t>
      </w:r>
      <w:r w:rsidR="003F77B3">
        <w:rPr>
          <w:rFonts w:ascii="Verdana" w:eastAsia="Times New Roman" w:hAnsi="Verdana" w:cs="Times New Roman"/>
          <w:b/>
          <w:noProof/>
          <w:lang w:val="en-US"/>
        </w:rPr>
        <w:t>7</w:t>
      </w:r>
    </w:p>
    <w:p w14:paraId="46E5D097" w14:textId="77777777" w:rsidR="00BE0D03" w:rsidRPr="00E446A8" w:rsidRDefault="00BE0D03" w:rsidP="007C0A31">
      <w:pPr>
        <w:spacing w:line="360" w:lineRule="auto"/>
        <w:jc w:val="center"/>
        <w:rPr>
          <w:rFonts w:ascii="Verdana" w:hAnsi="Verdana"/>
          <w:b/>
        </w:rPr>
      </w:pPr>
      <w:r w:rsidRPr="00E446A8">
        <w:rPr>
          <w:rFonts w:ascii="Verdana" w:hAnsi="Verdana"/>
          <w:b/>
        </w:rPr>
        <w:t>REPORT BY HEAD OF RESOURCES</w:t>
      </w:r>
    </w:p>
    <w:p w14:paraId="798015B5" w14:textId="796D8657" w:rsidR="00BE0D03" w:rsidRPr="00E446A8" w:rsidRDefault="002E71DF" w:rsidP="007C0A31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SCHEME FOR FINANCING SCHOOLS</w:t>
      </w:r>
    </w:p>
    <w:p w14:paraId="41CDAD53" w14:textId="77777777" w:rsidR="003533B2" w:rsidRDefault="003533B2" w:rsidP="003533B2">
      <w:pPr>
        <w:spacing w:line="360" w:lineRule="auto"/>
        <w:jc w:val="center"/>
        <w:rPr>
          <w:rFonts w:ascii="Verdana" w:hAnsi="Verdana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33B2" w14:paraId="6DC14F3E" w14:textId="77777777" w:rsidTr="0047631C">
        <w:tc>
          <w:tcPr>
            <w:tcW w:w="9016" w:type="dxa"/>
          </w:tcPr>
          <w:p w14:paraId="0A7F2AA3" w14:textId="77777777" w:rsidR="003533B2" w:rsidRPr="008548B0" w:rsidRDefault="003533B2" w:rsidP="00111C9D">
            <w:pPr>
              <w:spacing w:line="360" w:lineRule="auto"/>
              <w:rPr>
                <w:rFonts w:ascii="Verdana" w:hAnsi="Verdana" w:cs="Calibri"/>
                <w:b/>
              </w:rPr>
            </w:pPr>
            <w:r w:rsidRPr="008548B0">
              <w:rPr>
                <w:rFonts w:ascii="Verdana" w:hAnsi="Verdana" w:cs="Calibri"/>
                <w:b/>
              </w:rPr>
              <w:t>Purpose of the report</w:t>
            </w:r>
          </w:p>
          <w:p w14:paraId="797085D2" w14:textId="13F87FB5" w:rsidR="0049279B" w:rsidRDefault="00E0682F" w:rsidP="00DE0542">
            <w:pPr>
              <w:pStyle w:val="Default"/>
              <w:spacing w:line="360" w:lineRule="auto"/>
              <w:jc w:val="both"/>
              <w:rPr>
                <w:b/>
                <w:iCs/>
              </w:rPr>
            </w:pPr>
            <w:r>
              <w:rPr>
                <w:sz w:val="23"/>
                <w:szCs w:val="23"/>
              </w:rPr>
              <w:t xml:space="preserve">This report sets out </w:t>
            </w:r>
            <w:r w:rsidR="0006306A">
              <w:rPr>
                <w:sz w:val="23"/>
                <w:szCs w:val="23"/>
              </w:rPr>
              <w:t xml:space="preserve">the </w:t>
            </w:r>
            <w:r w:rsidR="00DE0542">
              <w:rPr>
                <w:sz w:val="23"/>
                <w:szCs w:val="23"/>
              </w:rPr>
              <w:t xml:space="preserve">result of the consultation on the new Scheme for Financing Schools. </w:t>
            </w:r>
          </w:p>
          <w:p w14:paraId="720CBD26" w14:textId="368C257F" w:rsidR="00BE4AAA" w:rsidRPr="00BE4AAA" w:rsidRDefault="00BE4AAA" w:rsidP="00BD25CC">
            <w:pPr>
              <w:spacing w:line="360" w:lineRule="auto"/>
              <w:jc w:val="right"/>
              <w:rPr>
                <w:rFonts w:ascii="Verdana" w:hAnsi="Verdana"/>
                <w:i/>
                <w:iCs/>
              </w:rPr>
            </w:pPr>
            <w:r w:rsidRPr="00BE4AAA">
              <w:rPr>
                <w:rFonts w:ascii="Verdana" w:hAnsi="Verdana"/>
                <w:b/>
                <w:iCs/>
              </w:rPr>
              <w:t xml:space="preserve">FOR </w:t>
            </w:r>
            <w:r w:rsidR="00BD25CC">
              <w:rPr>
                <w:rFonts w:ascii="Verdana" w:hAnsi="Verdana"/>
                <w:b/>
                <w:iCs/>
              </w:rPr>
              <w:t>APPROVAL</w:t>
            </w:r>
          </w:p>
        </w:tc>
      </w:tr>
    </w:tbl>
    <w:p w14:paraId="2C09E1DB" w14:textId="77777777" w:rsidR="00BE0D03" w:rsidRPr="00E446A8" w:rsidRDefault="00BE0D03" w:rsidP="007C0A31">
      <w:pPr>
        <w:spacing w:line="360" w:lineRule="auto"/>
        <w:rPr>
          <w:rFonts w:ascii="Verdana" w:hAnsi="Verdana"/>
        </w:rPr>
      </w:pPr>
    </w:p>
    <w:p w14:paraId="122A4A6E" w14:textId="77777777" w:rsidR="00BE0D03" w:rsidRPr="00E446A8" w:rsidRDefault="00BE0D03" w:rsidP="007C0A31">
      <w:pPr>
        <w:spacing w:line="360" w:lineRule="auto"/>
        <w:rPr>
          <w:rFonts w:ascii="Verdana" w:hAnsi="Verdana"/>
        </w:rPr>
      </w:pPr>
    </w:p>
    <w:p w14:paraId="7B761674" w14:textId="67982A85" w:rsidR="00BE0D03" w:rsidRPr="00E446A8" w:rsidRDefault="001861EC" w:rsidP="00DD72CC">
      <w:pPr>
        <w:pStyle w:val="Default"/>
        <w:numPr>
          <w:ilvl w:val="0"/>
          <w:numId w:val="4"/>
        </w:numPr>
        <w:spacing w:line="360" w:lineRule="auto"/>
        <w:ind w:left="851" w:hanging="851"/>
        <w:jc w:val="both"/>
        <w:rPr>
          <w:b/>
          <w:bCs/>
        </w:rPr>
      </w:pPr>
      <w:r>
        <w:rPr>
          <w:b/>
          <w:bCs/>
        </w:rPr>
        <w:t>Introduction</w:t>
      </w:r>
    </w:p>
    <w:p w14:paraId="150C2A75" w14:textId="34EAC0DE" w:rsidR="00DE0542" w:rsidRDefault="00DE0542" w:rsidP="00D542E2">
      <w:pPr>
        <w:pStyle w:val="ListParagraph"/>
        <w:numPr>
          <w:ilvl w:val="1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A report was tabled at the Schools Forum meeting on 16 January 2017 to provide the draft version of the Scheme for Financing Schools. </w:t>
      </w:r>
    </w:p>
    <w:p w14:paraId="182448F9" w14:textId="551EDDE2" w:rsidR="00DE0542" w:rsidRDefault="00DE0542" w:rsidP="00D542E2">
      <w:pPr>
        <w:pStyle w:val="ListParagraph"/>
        <w:numPr>
          <w:ilvl w:val="1"/>
          <w:numId w:val="5"/>
        </w:numPr>
        <w:spacing w:line="360" w:lineRule="auto"/>
        <w:ind w:left="851" w:hanging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In accordance with the provisions within the policy, the draft was circulated to all maintained schools within the Authority as part of a 6-week consultation period which ended on 3 March 2017. </w:t>
      </w:r>
    </w:p>
    <w:p w14:paraId="5CECAD59" w14:textId="6AF89BC0" w:rsidR="00DE0542" w:rsidRDefault="00DE0542" w:rsidP="00DE0542">
      <w:pPr>
        <w:spacing w:line="360" w:lineRule="auto"/>
        <w:jc w:val="both"/>
        <w:rPr>
          <w:rFonts w:ascii="Verdana" w:hAnsi="Verdana"/>
        </w:rPr>
      </w:pPr>
    </w:p>
    <w:p w14:paraId="5E7C02AB" w14:textId="2B44C7F8" w:rsidR="00DE0542" w:rsidRPr="00DE0542" w:rsidRDefault="00DE0542" w:rsidP="00DE0542">
      <w:pPr>
        <w:pStyle w:val="Default"/>
        <w:numPr>
          <w:ilvl w:val="0"/>
          <w:numId w:val="4"/>
        </w:numPr>
        <w:spacing w:line="360" w:lineRule="auto"/>
        <w:ind w:left="851" w:hanging="851"/>
        <w:jc w:val="both"/>
        <w:rPr>
          <w:b/>
          <w:bCs/>
        </w:rPr>
      </w:pPr>
      <w:r w:rsidRPr="00DE0542">
        <w:rPr>
          <w:b/>
          <w:bCs/>
        </w:rPr>
        <w:t>Background</w:t>
      </w:r>
    </w:p>
    <w:p w14:paraId="79895C39" w14:textId="216296A5" w:rsidR="00360868" w:rsidRPr="00DE0542" w:rsidRDefault="00360868" w:rsidP="00DE0542">
      <w:pPr>
        <w:pStyle w:val="ListParagraph"/>
        <w:numPr>
          <w:ilvl w:val="1"/>
          <w:numId w:val="4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DE0542">
        <w:rPr>
          <w:rFonts w:ascii="Verdana" w:hAnsi="Verdana"/>
        </w:rPr>
        <w:t xml:space="preserve">The Scheme for Financing Schools (the “policy”) sets out the financial relationship between the </w:t>
      </w:r>
      <w:r w:rsidR="0084242E" w:rsidRPr="00DE0542">
        <w:rPr>
          <w:rFonts w:ascii="Verdana" w:hAnsi="Verdana"/>
        </w:rPr>
        <w:t xml:space="preserve">Local </w:t>
      </w:r>
      <w:r w:rsidRPr="00DE0542">
        <w:rPr>
          <w:rFonts w:ascii="Verdana" w:hAnsi="Verdana"/>
        </w:rPr>
        <w:t xml:space="preserve">Authority and the maintained schools that it funds.  It contains requirements relating </w:t>
      </w:r>
      <w:r w:rsidR="00C236BF" w:rsidRPr="00DE0542">
        <w:rPr>
          <w:rFonts w:ascii="Verdana" w:hAnsi="Verdana"/>
        </w:rPr>
        <w:t>to the</w:t>
      </w:r>
      <w:r w:rsidRPr="00DE0542">
        <w:rPr>
          <w:rFonts w:ascii="Verdana" w:hAnsi="Verdana"/>
        </w:rPr>
        <w:t xml:space="preserve"> financial management </w:t>
      </w:r>
      <w:r w:rsidR="00D542E2" w:rsidRPr="00DE0542">
        <w:rPr>
          <w:rFonts w:ascii="Verdana" w:hAnsi="Verdana"/>
        </w:rPr>
        <w:t xml:space="preserve">of </w:t>
      </w:r>
      <w:r w:rsidRPr="00DE0542">
        <w:rPr>
          <w:rFonts w:ascii="Verdana" w:hAnsi="Verdana"/>
        </w:rPr>
        <w:t>its schools.</w:t>
      </w:r>
    </w:p>
    <w:p w14:paraId="281EB5D6" w14:textId="54617078" w:rsidR="00D2624C" w:rsidRDefault="00360868" w:rsidP="00DE0542">
      <w:pPr>
        <w:pStyle w:val="ListParagraph"/>
        <w:numPr>
          <w:ilvl w:val="1"/>
          <w:numId w:val="4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D542E2">
        <w:rPr>
          <w:rFonts w:ascii="Verdana" w:hAnsi="Verdana"/>
        </w:rPr>
        <w:t xml:space="preserve">The existing </w:t>
      </w:r>
      <w:r w:rsidR="0084242E" w:rsidRPr="00D542E2">
        <w:rPr>
          <w:rFonts w:ascii="Verdana" w:hAnsi="Verdana"/>
        </w:rPr>
        <w:t xml:space="preserve">Local Authority </w:t>
      </w:r>
      <w:r w:rsidR="00F86941" w:rsidRPr="00D542E2">
        <w:rPr>
          <w:rFonts w:ascii="Verdana" w:hAnsi="Verdana"/>
        </w:rPr>
        <w:t>policy</w:t>
      </w:r>
      <w:r w:rsidR="00D2624C">
        <w:rPr>
          <w:rFonts w:ascii="Verdana" w:hAnsi="Verdana"/>
        </w:rPr>
        <w:t xml:space="preserve"> was last updated </w:t>
      </w:r>
      <w:r w:rsidR="00153CD9">
        <w:rPr>
          <w:rFonts w:ascii="Verdana" w:hAnsi="Verdana"/>
        </w:rPr>
        <w:t>in January 2007</w:t>
      </w:r>
      <w:r w:rsidRPr="00D542E2">
        <w:rPr>
          <w:rFonts w:ascii="Verdana" w:hAnsi="Verdana"/>
        </w:rPr>
        <w:t xml:space="preserve">. The Department for Education </w:t>
      </w:r>
      <w:r w:rsidR="00F86941" w:rsidRPr="00D542E2">
        <w:rPr>
          <w:rFonts w:ascii="Verdana" w:hAnsi="Verdana"/>
        </w:rPr>
        <w:t xml:space="preserve">(DfE) </w:t>
      </w:r>
      <w:r w:rsidRPr="00D542E2">
        <w:rPr>
          <w:rFonts w:ascii="Verdana" w:hAnsi="Verdana"/>
        </w:rPr>
        <w:t>released new guidance in December 2015</w:t>
      </w:r>
      <w:r w:rsidR="00F77FDB">
        <w:rPr>
          <w:rFonts w:ascii="Verdana" w:hAnsi="Verdana"/>
        </w:rPr>
        <w:t xml:space="preserve"> (issue 8)</w:t>
      </w:r>
      <w:r w:rsidRPr="00D542E2">
        <w:rPr>
          <w:rFonts w:ascii="Verdana" w:hAnsi="Verdana"/>
        </w:rPr>
        <w:t xml:space="preserve">, outlining the provisions </w:t>
      </w:r>
      <w:r w:rsidR="00F77FDB">
        <w:rPr>
          <w:rFonts w:ascii="Verdana" w:hAnsi="Verdana"/>
        </w:rPr>
        <w:t>that</w:t>
      </w:r>
      <w:r w:rsidRPr="00D542E2">
        <w:rPr>
          <w:rFonts w:ascii="Verdana" w:hAnsi="Verdana"/>
        </w:rPr>
        <w:t xml:space="preserve"> a local authority's </w:t>
      </w:r>
      <w:r w:rsidR="00F86941" w:rsidRPr="00D542E2">
        <w:rPr>
          <w:rFonts w:ascii="Verdana" w:hAnsi="Verdana"/>
        </w:rPr>
        <w:t>policy</w:t>
      </w:r>
      <w:r w:rsidRPr="00D542E2">
        <w:rPr>
          <w:rFonts w:ascii="Verdana" w:hAnsi="Verdana"/>
        </w:rPr>
        <w:t xml:space="preserve"> must, should or may include</w:t>
      </w:r>
      <w:r w:rsidR="00F86941" w:rsidRPr="00D542E2">
        <w:rPr>
          <w:rFonts w:ascii="Verdana" w:hAnsi="Verdana"/>
        </w:rPr>
        <w:t>.</w:t>
      </w:r>
      <w:r w:rsidR="00D542E2">
        <w:rPr>
          <w:rFonts w:ascii="Verdana" w:hAnsi="Verdana"/>
        </w:rPr>
        <w:t xml:space="preserve"> </w:t>
      </w:r>
    </w:p>
    <w:p w14:paraId="7966F051" w14:textId="77777777" w:rsidR="007C0FD2" w:rsidRPr="00E446A8" w:rsidRDefault="007C0FD2" w:rsidP="00DD72CC">
      <w:pPr>
        <w:spacing w:line="360" w:lineRule="auto"/>
        <w:ind w:left="851" w:hanging="851"/>
        <w:jc w:val="both"/>
        <w:rPr>
          <w:rFonts w:ascii="Verdana" w:hAnsi="Verdana"/>
        </w:rPr>
      </w:pPr>
    </w:p>
    <w:p w14:paraId="70C73E92" w14:textId="1E0879D7" w:rsidR="00170F6D" w:rsidRPr="00170F6D" w:rsidRDefault="00170F6D" w:rsidP="00170F6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</w:rPr>
      </w:pPr>
      <w:r w:rsidRPr="00170F6D">
        <w:rPr>
          <w:rFonts w:ascii="Verdana" w:hAnsi="Verdana"/>
          <w:b/>
        </w:rPr>
        <w:t xml:space="preserve">Consultation </w:t>
      </w:r>
      <w:r w:rsidR="00DE0542">
        <w:rPr>
          <w:rFonts w:ascii="Verdana" w:hAnsi="Verdana"/>
          <w:b/>
        </w:rPr>
        <w:t>responses</w:t>
      </w:r>
    </w:p>
    <w:p w14:paraId="1AAF9067" w14:textId="5E52C61F" w:rsidR="00170F6D" w:rsidRDefault="00412969" w:rsidP="00412969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The table below sets out comments raised by schools as part of the consultation: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81"/>
      </w:tblGrid>
      <w:tr w:rsidR="00E467AF" w:rsidRPr="00E467AF" w14:paraId="6F7319FF" w14:textId="77777777" w:rsidTr="00E467AF">
        <w:tc>
          <w:tcPr>
            <w:tcW w:w="675" w:type="dxa"/>
            <w:shd w:val="clear" w:color="auto" w:fill="D9D9D9" w:themeFill="background1" w:themeFillShade="D9"/>
          </w:tcPr>
          <w:p w14:paraId="36CC187E" w14:textId="38F134D3" w:rsidR="00E467AF" w:rsidRPr="00E467AF" w:rsidRDefault="00E467AF" w:rsidP="00412969">
            <w:pPr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903A8E9" w14:textId="31522116" w:rsidR="00E467AF" w:rsidRPr="00E467AF" w:rsidRDefault="00E467AF" w:rsidP="00412969">
            <w:pPr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E467AF">
              <w:rPr>
                <w:rFonts w:ascii="Verdana" w:hAnsi="Verdana"/>
                <w:b/>
                <w:sz w:val="20"/>
              </w:rPr>
              <w:t>Comment</w:t>
            </w:r>
          </w:p>
        </w:tc>
        <w:tc>
          <w:tcPr>
            <w:tcW w:w="4881" w:type="dxa"/>
            <w:shd w:val="clear" w:color="auto" w:fill="D9D9D9" w:themeFill="background1" w:themeFillShade="D9"/>
          </w:tcPr>
          <w:p w14:paraId="2C73BEFF" w14:textId="7560BB76" w:rsidR="00E467AF" w:rsidRPr="00E467AF" w:rsidRDefault="00E467AF" w:rsidP="00412969">
            <w:pPr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E467AF">
              <w:rPr>
                <w:rFonts w:ascii="Verdana" w:hAnsi="Verdana"/>
                <w:b/>
                <w:sz w:val="20"/>
              </w:rPr>
              <w:t>Action taken</w:t>
            </w:r>
          </w:p>
        </w:tc>
      </w:tr>
      <w:tr w:rsidR="00E467AF" w:rsidRPr="00E467AF" w14:paraId="468F9562" w14:textId="77777777" w:rsidTr="00E467AF">
        <w:tc>
          <w:tcPr>
            <w:tcW w:w="675" w:type="dxa"/>
          </w:tcPr>
          <w:p w14:paraId="45C91233" w14:textId="71D5A961" w:rsidR="00E467AF" w:rsidRPr="00E467AF" w:rsidRDefault="00E467AF" w:rsidP="00E467A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3686" w:type="dxa"/>
          </w:tcPr>
          <w:p w14:paraId="2DB931EA" w14:textId="5A36F65A" w:rsidR="00E467AF" w:rsidRPr="00E467AF" w:rsidRDefault="00E467AF" w:rsidP="00E467AF">
            <w:pPr>
              <w:spacing w:line="360" w:lineRule="auto"/>
              <w:rPr>
                <w:rFonts w:ascii="Verdana" w:hAnsi="Verdana"/>
                <w:sz w:val="20"/>
              </w:rPr>
            </w:pPr>
            <w:r w:rsidRPr="00E467AF">
              <w:rPr>
                <w:rFonts w:ascii="Verdana" w:hAnsi="Verdana"/>
                <w:sz w:val="20"/>
              </w:rPr>
              <w:t xml:space="preserve">A query was raised in relation to the new financial reporting requirements </w:t>
            </w:r>
            <w:r>
              <w:rPr>
                <w:rFonts w:ascii="Verdana" w:hAnsi="Verdana"/>
                <w:sz w:val="20"/>
              </w:rPr>
              <w:t xml:space="preserve">for schools to follow in section 2 of the Scheme. </w:t>
            </w:r>
          </w:p>
        </w:tc>
        <w:tc>
          <w:tcPr>
            <w:tcW w:w="4881" w:type="dxa"/>
          </w:tcPr>
          <w:p w14:paraId="34BCB59A" w14:textId="66A94F7D" w:rsidR="00E467AF" w:rsidRPr="00E467AF" w:rsidRDefault="00E467AF" w:rsidP="00F30697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The Scheme was brought up to date to reflect the new financial reporting requirements for schools</w:t>
            </w:r>
            <w:r w:rsidR="00F30697">
              <w:rPr>
                <w:rFonts w:ascii="Verdana" w:hAnsi="Verdana"/>
                <w:sz w:val="20"/>
              </w:rPr>
              <w:t>,</w:t>
            </w:r>
            <w:r>
              <w:rPr>
                <w:rFonts w:ascii="Verdana" w:hAnsi="Verdana"/>
                <w:sz w:val="20"/>
              </w:rPr>
              <w:t xml:space="preserve"> to allow the Authority to effectively oversee school budgets and support where necessary. Schools will be</w:t>
            </w:r>
            <w:r w:rsidR="00F30697">
              <w:rPr>
                <w:rFonts w:ascii="Verdana" w:hAnsi="Verdana"/>
                <w:sz w:val="20"/>
              </w:rPr>
              <w:t xml:space="preserve"> provided further</w:t>
            </w:r>
            <w:r>
              <w:rPr>
                <w:rFonts w:ascii="Verdana" w:hAnsi="Verdana"/>
                <w:sz w:val="20"/>
              </w:rPr>
              <w:t xml:space="preserve"> support </w:t>
            </w:r>
            <w:r w:rsidR="00F30697">
              <w:rPr>
                <w:rFonts w:ascii="Verdana" w:hAnsi="Verdana"/>
                <w:sz w:val="20"/>
              </w:rPr>
              <w:t xml:space="preserve">and guidance </w:t>
            </w:r>
            <w:r>
              <w:rPr>
                <w:rFonts w:ascii="Verdana" w:hAnsi="Verdana"/>
                <w:sz w:val="20"/>
              </w:rPr>
              <w:t xml:space="preserve">to deliver against the new reporting requirements. </w:t>
            </w:r>
          </w:p>
        </w:tc>
      </w:tr>
      <w:tr w:rsidR="00E467AF" w:rsidRPr="00E467AF" w14:paraId="152578CB" w14:textId="77777777" w:rsidTr="00E467AF">
        <w:tc>
          <w:tcPr>
            <w:tcW w:w="675" w:type="dxa"/>
          </w:tcPr>
          <w:p w14:paraId="296C58AC" w14:textId="0EA59784" w:rsidR="00E467AF" w:rsidRPr="00E467AF" w:rsidRDefault="00E467AF" w:rsidP="00E467A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2</w:t>
            </w:r>
          </w:p>
        </w:tc>
        <w:tc>
          <w:tcPr>
            <w:tcW w:w="3686" w:type="dxa"/>
          </w:tcPr>
          <w:p w14:paraId="0D62B289" w14:textId="0D6C1C35" w:rsidR="00E467AF" w:rsidRPr="00E467AF" w:rsidRDefault="00E467AF" w:rsidP="000B67A5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 query was raised in relation to the submission of budget</w:t>
            </w:r>
            <w:r w:rsidR="000B67A5">
              <w:rPr>
                <w:rFonts w:ascii="Verdana" w:hAnsi="Verdana"/>
                <w:sz w:val="20"/>
              </w:rPr>
              <w:t>s</w:t>
            </w:r>
            <w:r w:rsidR="00604C8D">
              <w:rPr>
                <w:rFonts w:ascii="Verdana" w:hAnsi="Verdana"/>
                <w:sz w:val="20"/>
              </w:rPr>
              <w:t xml:space="preserve"> in section 2 of the Scheme</w:t>
            </w:r>
            <w:r w:rsidR="000B67A5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4881" w:type="dxa"/>
          </w:tcPr>
          <w:p w14:paraId="1E67F4C2" w14:textId="45D18377" w:rsidR="00E467AF" w:rsidRPr="00E467AF" w:rsidRDefault="00B11A23" w:rsidP="00B11A23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The Authority will be provided further communications and support to deliver against the new budget submission requirements.</w:t>
            </w:r>
          </w:p>
        </w:tc>
      </w:tr>
      <w:tr w:rsidR="00B11A23" w:rsidRPr="00E467AF" w14:paraId="230EDBAE" w14:textId="77777777" w:rsidTr="00E467AF">
        <w:tc>
          <w:tcPr>
            <w:tcW w:w="675" w:type="dxa"/>
          </w:tcPr>
          <w:p w14:paraId="647A8499" w14:textId="1EEEFD7E" w:rsidR="00B11A23" w:rsidRDefault="00B11A23" w:rsidP="00E467A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3686" w:type="dxa"/>
          </w:tcPr>
          <w:p w14:paraId="4B3DC9CF" w14:textId="357BCC87" w:rsidR="00B11A23" w:rsidRDefault="00B11A23" w:rsidP="000B67A5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 query was raised about changes to the purchasing, tendering and contracting requirements. </w:t>
            </w:r>
          </w:p>
        </w:tc>
        <w:tc>
          <w:tcPr>
            <w:tcW w:w="4881" w:type="dxa"/>
          </w:tcPr>
          <w:p w14:paraId="1C73D714" w14:textId="38EB092E" w:rsidR="00B11A23" w:rsidRDefault="00B11A23" w:rsidP="00BA6C19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It was agreed to amend </w:t>
            </w:r>
            <w:r w:rsidR="00BA6C19">
              <w:rPr>
                <w:rFonts w:ascii="Verdana" w:hAnsi="Verdana"/>
                <w:sz w:val="20"/>
              </w:rPr>
              <w:t>these provisions.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B11A23" w:rsidRPr="00E467AF" w14:paraId="6DCB10ED" w14:textId="77777777" w:rsidTr="00E467AF">
        <w:tc>
          <w:tcPr>
            <w:tcW w:w="675" w:type="dxa"/>
          </w:tcPr>
          <w:p w14:paraId="244FBC3C" w14:textId="3E51624F" w:rsidR="00B11A23" w:rsidRDefault="00B715E6" w:rsidP="00E467AF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3686" w:type="dxa"/>
          </w:tcPr>
          <w:p w14:paraId="21F518A0" w14:textId="0D829F0A" w:rsidR="00B11A23" w:rsidRDefault="00B715E6" w:rsidP="000B67A5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Minor amendments to clarify wording</w:t>
            </w:r>
            <w:r w:rsidR="002E7EC0">
              <w:rPr>
                <w:rFonts w:ascii="Verdana" w:hAnsi="Verdana"/>
                <w:sz w:val="20"/>
              </w:rPr>
              <w:t xml:space="preserve"> throughout</w:t>
            </w:r>
          </w:p>
        </w:tc>
        <w:tc>
          <w:tcPr>
            <w:tcW w:w="4881" w:type="dxa"/>
          </w:tcPr>
          <w:p w14:paraId="52BE68E6" w14:textId="123B90FA" w:rsidR="00B11A23" w:rsidRDefault="002E7EC0" w:rsidP="00972E7B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Some p</w:t>
            </w:r>
            <w:r w:rsidR="00B715E6">
              <w:rPr>
                <w:rFonts w:ascii="Verdana" w:hAnsi="Verdana"/>
                <w:sz w:val="20"/>
              </w:rPr>
              <w:t xml:space="preserve">rovisions have been </w:t>
            </w:r>
            <w:r>
              <w:rPr>
                <w:rFonts w:ascii="Verdana" w:hAnsi="Verdana"/>
                <w:sz w:val="20"/>
              </w:rPr>
              <w:t>reworded</w:t>
            </w:r>
            <w:r w:rsidR="00B715E6">
              <w:rPr>
                <w:rFonts w:ascii="Verdana" w:hAnsi="Verdana"/>
                <w:sz w:val="20"/>
              </w:rPr>
              <w:t xml:space="preserve"> to make </w:t>
            </w:r>
            <w:r w:rsidR="00972E7B">
              <w:rPr>
                <w:rFonts w:ascii="Verdana" w:hAnsi="Verdana"/>
                <w:sz w:val="20"/>
              </w:rPr>
              <w:t xml:space="preserve">provisions clearer. </w:t>
            </w:r>
            <w:r w:rsidR="00B715E6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14:paraId="2277333E" w14:textId="77777777" w:rsidR="00412969" w:rsidRPr="00412969" w:rsidRDefault="00412969" w:rsidP="00412969">
      <w:pPr>
        <w:spacing w:line="360" w:lineRule="auto"/>
        <w:jc w:val="both"/>
        <w:rPr>
          <w:rFonts w:ascii="Verdana" w:hAnsi="Verdana"/>
        </w:rPr>
      </w:pPr>
    </w:p>
    <w:p w14:paraId="51B64A60" w14:textId="77777777" w:rsidR="00412969" w:rsidRPr="00412969" w:rsidRDefault="00412969" w:rsidP="00412969">
      <w:pPr>
        <w:spacing w:line="360" w:lineRule="auto"/>
        <w:jc w:val="both"/>
        <w:rPr>
          <w:rFonts w:ascii="Verdana" w:hAnsi="Verdana"/>
        </w:rPr>
      </w:pPr>
    </w:p>
    <w:p w14:paraId="7E807287" w14:textId="77777777" w:rsidR="006E4DFD" w:rsidRPr="006E4DFD" w:rsidRDefault="006E4DFD" w:rsidP="00F45EE4">
      <w:pPr>
        <w:pStyle w:val="ListParagraph"/>
        <w:numPr>
          <w:ilvl w:val="0"/>
          <w:numId w:val="10"/>
        </w:numPr>
        <w:spacing w:line="360" w:lineRule="auto"/>
        <w:ind w:left="851" w:hanging="851"/>
        <w:rPr>
          <w:rFonts w:ascii="Verdana" w:hAnsi="Verdana"/>
          <w:b/>
          <w:vanish/>
        </w:rPr>
      </w:pPr>
    </w:p>
    <w:p w14:paraId="20B6A732" w14:textId="77777777" w:rsidR="006E4DFD" w:rsidRPr="006E4DFD" w:rsidRDefault="006E4DFD" w:rsidP="00F45EE4">
      <w:pPr>
        <w:pStyle w:val="ListParagraph"/>
        <w:numPr>
          <w:ilvl w:val="0"/>
          <w:numId w:val="10"/>
        </w:numPr>
        <w:spacing w:line="360" w:lineRule="auto"/>
        <w:ind w:left="851" w:hanging="851"/>
        <w:rPr>
          <w:rFonts w:ascii="Verdana" w:hAnsi="Verdana"/>
          <w:b/>
          <w:vanish/>
        </w:rPr>
      </w:pPr>
    </w:p>
    <w:p w14:paraId="1A38F046" w14:textId="77777777" w:rsidR="006E4DFD" w:rsidRPr="006E4DFD" w:rsidRDefault="006E4DFD" w:rsidP="00F45EE4">
      <w:pPr>
        <w:pStyle w:val="ListParagraph"/>
        <w:numPr>
          <w:ilvl w:val="0"/>
          <w:numId w:val="10"/>
        </w:numPr>
        <w:spacing w:line="360" w:lineRule="auto"/>
        <w:ind w:left="851" w:hanging="851"/>
        <w:rPr>
          <w:rFonts w:ascii="Verdana" w:hAnsi="Verdana"/>
          <w:b/>
          <w:vanish/>
        </w:rPr>
      </w:pPr>
    </w:p>
    <w:p w14:paraId="0E114255" w14:textId="77777777" w:rsidR="00FC7C9C" w:rsidRPr="006E4DFD" w:rsidRDefault="00FC7C9C" w:rsidP="00DD72CC">
      <w:pPr>
        <w:pStyle w:val="ListParagraph"/>
        <w:numPr>
          <w:ilvl w:val="0"/>
          <w:numId w:val="9"/>
        </w:numPr>
        <w:spacing w:line="360" w:lineRule="auto"/>
        <w:ind w:left="851" w:hanging="851"/>
        <w:jc w:val="both"/>
        <w:rPr>
          <w:rFonts w:ascii="Verdana" w:hAnsi="Verdana"/>
        </w:rPr>
      </w:pPr>
      <w:r>
        <w:rPr>
          <w:rFonts w:ascii="Verdana" w:hAnsi="Verdana"/>
          <w:b/>
        </w:rPr>
        <w:t>Recommendations</w:t>
      </w:r>
    </w:p>
    <w:p w14:paraId="4AEE4207" w14:textId="77777777" w:rsidR="00224AE4" w:rsidRDefault="00FC7C9C" w:rsidP="00DD72CC">
      <w:pPr>
        <w:pStyle w:val="ListParagraph"/>
        <w:numPr>
          <w:ilvl w:val="1"/>
          <w:numId w:val="9"/>
        </w:numPr>
        <w:spacing w:line="360" w:lineRule="auto"/>
        <w:ind w:left="851" w:hanging="851"/>
        <w:jc w:val="both"/>
        <w:rPr>
          <w:rFonts w:ascii="Verdana" w:hAnsi="Verdana"/>
        </w:rPr>
      </w:pPr>
      <w:r w:rsidRPr="006E4DFD">
        <w:rPr>
          <w:rFonts w:ascii="Verdana" w:hAnsi="Verdana"/>
        </w:rPr>
        <w:t xml:space="preserve">Schools Forum </w:t>
      </w:r>
      <w:r w:rsidR="00F77FDB">
        <w:rPr>
          <w:rFonts w:ascii="Verdana" w:hAnsi="Verdana"/>
        </w:rPr>
        <w:t>are asked to</w:t>
      </w:r>
      <w:r w:rsidR="00224AE4">
        <w:rPr>
          <w:rFonts w:ascii="Verdana" w:hAnsi="Verdana"/>
        </w:rPr>
        <w:t>:</w:t>
      </w:r>
    </w:p>
    <w:p w14:paraId="5209BF64" w14:textId="4738682C" w:rsidR="00FA7EF3" w:rsidRDefault="00FA7EF3" w:rsidP="002E7535">
      <w:pPr>
        <w:pStyle w:val="ListParagraph"/>
        <w:numPr>
          <w:ilvl w:val="2"/>
          <w:numId w:val="18"/>
        </w:numPr>
        <w:spacing w:line="360" w:lineRule="auto"/>
        <w:ind w:left="1276" w:hanging="436"/>
        <w:jc w:val="both"/>
        <w:rPr>
          <w:rFonts w:ascii="Verdana" w:hAnsi="Verdana"/>
        </w:rPr>
      </w:pPr>
      <w:r>
        <w:rPr>
          <w:rFonts w:ascii="Verdana" w:hAnsi="Verdana"/>
        </w:rPr>
        <w:t xml:space="preserve">note </w:t>
      </w:r>
      <w:r w:rsidR="00412969">
        <w:rPr>
          <w:rFonts w:ascii="Verdana" w:hAnsi="Verdana"/>
        </w:rPr>
        <w:t>the consultation responses</w:t>
      </w:r>
    </w:p>
    <w:p w14:paraId="5B2BA647" w14:textId="431FF400" w:rsidR="00F77FDB" w:rsidRDefault="00F77FDB" w:rsidP="002E7535">
      <w:pPr>
        <w:pStyle w:val="ListParagraph"/>
        <w:numPr>
          <w:ilvl w:val="2"/>
          <w:numId w:val="18"/>
        </w:numPr>
        <w:spacing w:line="360" w:lineRule="auto"/>
        <w:ind w:left="1276" w:hanging="436"/>
        <w:jc w:val="both"/>
        <w:rPr>
          <w:rFonts w:ascii="Verdana" w:hAnsi="Verdana"/>
        </w:rPr>
      </w:pPr>
      <w:r>
        <w:rPr>
          <w:rFonts w:ascii="Verdana" w:hAnsi="Verdana"/>
        </w:rPr>
        <w:t xml:space="preserve">review and approve the </w:t>
      </w:r>
      <w:r w:rsidR="00875D00">
        <w:rPr>
          <w:rFonts w:ascii="Verdana" w:hAnsi="Verdana"/>
        </w:rPr>
        <w:t xml:space="preserve">new policy in Appendix A. </w:t>
      </w:r>
    </w:p>
    <w:p w14:paraId="13CCA60C" w14:textId="5FD3C6AA" w:rsidR="00FC7C9C" w:rsidRDefault="00FC7C9C" w:rsidP="00DD72CC">
      <w:pPr>
        <w:spacing w:line="360" w:lineRule="auto"/>
        <w:ind w:left="709" w:hanging="709"/>
        <w:jc w:val="both"/>
        <w:rPr>
          <w:rFonts w:ascii="Verdana" w:hAnsi="Verdana"/>
        </w:rPr>
      </w:pPr>
    </w:p>
    <w:p w14:paraId="2C76580E" w14:textId="77777777" w:rsidR="00B16687" w:rsidRPr="00651958" w:rsidRDefault="00B16687" w:rsidP="00DD72CC">
      <w:pPr>
        <w:spacing w:line="360" w:lineRule="auto"/>
        <w:ind w:left="709" w:hanging="709"/>
        <w:jc w:val="both"/>
        <w:rPr>
          <w:rFonts w:ascii="Verdana" w:hAnsi="Verdana"/>
        </w:rPr>
      </w:pPr>
    </w:p>
    <w:p w14:paraId="2D0ACD76" w14:textId="77777777" w:rsidR="00FC7C9C" w:rsidRPr="00277983" w:rsidRDefault="00FC7C9C" w:rsidP="00DD72CC">
      <w:pPr>
        <w:pStyle w:val="ListParagraph"/>
        <w:spacing w:line="360" w:lineRule="auto"/>
        <w:ind w:left="0"/>
        <w:jc w:val="center"/>
        <w:rPr>
          <w:rFonts w:ascii="Verdana" w:hAnsi="Verdana"/>
          <w:b/>
        </w:rPr>
      </w:pPr>
      <w:r w:rsidRPr="00277983">
        <w:rPr>
          <w:rFonts w:ascii="Verdana" w:hAnsi="Verdana"/>
          <w:b/>
        </w:rPr>
        <w:t>Andrew Tagg</w:t>
      </w:r>
    </w:p>
    <w:p w14:paraId="1278FD10" w14:textId="77777777" w:rsidR="00FC7C9C" w:rsidRPr="00277983" w:rsidRDefault="00FC7C9C" w:rsidP="00DD72CC">
      <w:pPr>
        <w:pStyle w:val="ListParagraph"/>
        <w:spacing w:line="360" w:lineRule="auto"/>
        <w:ind w:left="0"/>
        <w:jc w:val="center"/>
        <w:rPr>
          <w:rFonts w:ascii="Verdana" w:hAnsi="Verdana"/>
          <w:b/>
        </w:rPr>
      </w:pPr>
      <w:r w:rsidRPr="00277983">
        <w:rPr>
          <w:rFonts w:ascii="Verdana" w:hAnsi="Verdana"/>
          <w:b/>
        </w:rPr>
        <w:t>Head of Resources</w:t>
      </w:r>
    </w:p>
    <w:p w14:paraId="46911672" w14:textId="77777777" w:rsidR="00FC7C9C" w:rsidRPr="00277983" w:rsidRDefault="00FC7C9C" w:rsidP="00DD72CC">
      <w:pPr>
        <w:pStyle w:val="ListParagraph"/>
        <w:spacing w:line="360" w:lineRule="auto"/>
        <w:ind w:left="0"/>
        <w:jc w:val="center"/>
        <w:rPr>
          <w:rFonts w:ascii="Verdana" w:hAnsi="Verdana"/>
          <w:b/>
        </w:rPr>
      </w:pPr>
    </w:p>
    <w:p w14:paraId="4716DFC4" w14:textId="09E88394" w:rsidR="00FC7C9C" w:rsidRDefault="00627231" w:rsidP="00DD72CC">
      <w:pPr>
        <w:pStyle w:val="ListParagraph"/>
        <w:spacing w:line="360" w:lineRule="auto"/>
        <w:ind w:left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Cla</w:t>
      </w:r>
      <w:r w:rsidR="00FC7C9C">
        <w:rPr>
          <w:rFonts w:ascii="Verdana" w:hAnsi="Verdana"/>
          <w:b/>
        </w:rPr>
        <w:t>re Chamberlain</w:t>
      </w:r>
    </w:p>
    <w:p w14:paraId="53933F90" w14:textId="77777777" w:rsidR="00FC7C9C" w:rsidRDefault="00FC7C9C" w:rsidP="00DD72CC">
      <w:pPr>
        <w:pStyle w:val="ListParagraph"/>
        <w:spacing w:line="360" w:lineRule="auto"/>
        <w:ind w:left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Tri-Borough Executive Director – Children’s Services</w:t>
      </w:r>
    </w:p>
    <w:p w14:paraId="52FA5D97" w14:textId="77777777" w:rsidR="00FC7C9C" w:rsidRDefault="00FC7C9C" w:rsidP="00DD72CC">
      <w:pPr>
        <w:pStyle w:val="ListParagraph"/>
        <w:spacing w:line="360" w:lineRule="auto"/>
        <w:ind w:left="0"/>
        <w:jc w:val="center"/>
        <w:rPr>
          <w:rFonts w:ascii="Verdana" w:hAnsi="Verdana"/>
          <w:b/>
        </w:rPr>
      </w:pPr>
    </w:p>
    <w:p w14:paraId="448E7E4A" w14:textId="77777777" w:rsidR="00887D5D" w:rsidRDefault="00887D5D" w:rsidP="00887D5D">
      <w:pPr>
        <w:pStyle w:val="ListParagraph"/>
        <w:spacing w:line="360" w:lineRule="auto"/>
        <w:ind w:left="0"/>
        <w:jc w:val="both"/>
        <w:rPr>
          <w:rFonts w:ascii="Verdana" w:hAnsi="Verdana"/>
          <w:b/>
        </w:rPr>
      </w:pPr>
    </w:p>
    <w:p w14:paraId="3FBA521E" w14:textId="06A6B586" w:rsidR="00887D5D" w:rsidRPr="00204D74" w:rsidRDefault="00887D5D" w:rsidP="00887D5D">
      <w:pPr>
        <w:pStyle w:val="ListParagraph"/>
        <w:spacing w:line="360" w:lineRule="auto"/>
        <w:ind w:left="0"/>
        <w:jc w:val="both"/>
        <w:rPr>
          <w:rFonts w:ascii="Verdana" w:hAnsi="Verdana"/>
          <w:b/>
        </w:rPr>
      </w:pPr>
      <w:r w:rsidRPr="00204D74">
        <w:rPr>
          <w:rFonts w:ascii="Verdana" w:hAnsi="Verdana"/>
          <w:b/>
        </w:rPr>
        <w:lastRenderedPageBreak/>
        <w:t>Background Papers</w:t>
      </w:r>
    </w:p>
    <w:p w14:paraId="6BD9D8A0" w14:textId="2D9C7712" w:rsidR="004365FC" w:rsidRDefault="00C76747" w:rsidP="00556A8C">
      <w:pPr>
        <w:pStyle w:val="ListParagraph"/>
        <w:numPr>
          <w:ilvl w:val="0"/>
          <w:numId w:val="14"/>
        </w:numPr>
        <w:spacing w:line="360" w:lineRule="auto"/>
        <w:jc w:val="both"/>
      </w:pPr>
      <w:r w:rsidRPr="00C76747">
        <w:rPr>
          <w:rFonts w:ascii="Verdana" w:hAnsi="Verdana"/>
        </w:rPr>
        <w:t>Department for Education: Statutory guidance for local authorities on producing and amending school financing schemes.</w:t>
      </w:r>
      <w:r>
        <w:rPr>
          <w:rFonts w:ascii="Verdana" w:hAnsi="Verdana"/>
        </w:rPr>
        <w:t xml:space="preserve"> </w:t>
      </w:r>
      <w:hyperlink r:id="rId8" w:history="1">
        <w:r w:rsidRPr="008471D1">
          <w:rPr>
            <w:rStyle w:val="Hyperlink"/>
          </w:rPr>
          <w:t>https://www.gov.uk/government/publications/schemes-for-financing-schools</w:t>
        </w:r>
      </w:hyperlink>
      <w:r>
        <w:t xml:space="preserve"> </w:t>
      </w:r>
    </w:p>
    <w:p w14:paraId="6690B76B" w14:textId="0033BBBB" w:rsidR="00D436E9" w:rsidRDefault="00D436E9" w:rsidP="00D436E9">
      <w:pPr>
        <w:spacing w:line="360" w:lineRule="auto"/>
        <w:jc w:val="both"/>
      </w:pPr>
    </w:p>
    <w:p w14:paraId="75F0E039" w14:textId="65E5ADE6" w:rsidR="00D436E9" w:rsidRPr="00204D74" w:rsidRDefault="00D436E9" w:rsidP="00D436E9">
      <w:pPr>
        <w:pStyle w:val="ListParagraph"/>
        <w:spacing w:line="360" w:lineRule="auto"/>
        <w:ind w:left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Annexes</w:t>
      </w:r>
    </w:p>
    <w:p w14:paraId="1DC1D541" w14:textId="582C4D88" w:rsidR="00D436E9" w:rsidRDefault="009C34C9" w:rsidP="00875D00">
      <w:pPr>
        <w:pStyle w:val="ListParagraph"/>
        <w:numPr>
          <w:ilvl w:val="0"/>
          <w:numId w:val="21"/>
        </w:numPr>
        <w:spacing w:line="360" w:lineRule="auto"/>
        <w:jc w:val="both"/>
      </w:pPr>
      <w:r>
        <w:rPr>
          <w:rFonts w:ascii="Verdana" w:hAnsi="Verdana"/>
        </w:rPr>
        <w:t xml:space="preserve">Annex A – Proposed Scheme for Financing Schools </w:t>
      </w:r>
    </w:p>
    <w:sectPr w:rsidR="00D436E9" w:rsidSect="003A0619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D28FF" w14:textId="77777777" w:rsidR="00677608" w:rsidRDefault="00677608" w:rsidP="004365FC">
      <w:r>
        <w:separator/>
      </w:r>
    </w:p>
  </w:endnote>
  <w:endnote w:type="continuationSeparator" w:id="0">
    <w:p w14:paraId="7684DF09" w14:textId="77777777" w:rsidR="00677608" w:rsidRDefault="00677608" w:rsidP="0043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</w:rPr>
      <w:id w:val="-1220586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F584B" w14:textId="0D897001" w:rsidR="003151D9" w:rsidRPr="005C43F8" w:rsidRDefault="003151D9" w:rsidP="005C43F8">
        <w:pPr>
          <w:pStyle w:val="Footer"/>
          <w:jc w:val="center"/>
          <w:rPr>
            <w:rFonts w:ascii="Verdana" w:hAnsi="Verdana"/>
          </w:rPr>
        </w:pPr>
        <w:r w:rsidRPr="00495D0D">
          <w:rPr>
            <w:rFonts w:ascii="Verdana" w:hAnsi="Verdana"/>
          </w:rPr>
          <w:t xml:space="preserve">Page </w:t>
        </w:r>
        <w:r w:rsidRPr="00495D0D">
          <w:rPr>
            <w:rFonts w:ascii="Verdana" w:hAnsi="Verdana"/>
          </w:rPr>
          <w:fldChar w:fldCharType="begin"/>
        </w:r>
        <w:r w:rsidRPr="00495D0D">
          <w:rPr>
            <w:rFonts w:ascii="Verdana" w:hAnsi="Verdana"/>
          </w:rPr>
          <w:instrText xml:space="preserve"> PAGE   \* MERGEFORMAT </w:instrText>
        </w:r>
        <w:r w:rsidRPr="00495D0D">
          <w:rPr>
            <w:rFonts w:ascii="Verdana" w:hAnsi="Verdana"/>
          </w:rPr>
          <w:fldChar w:fldCharType="separate"/>
        </w:r>
        <w:r w:rsidR="00C60569">
          <w:rPr>
            <w:rFonts w:ascii="Verdana" w:hAnsi="Verdana"/>
            <w:noProof/>
          </w:rPr>
          <w:t>1</w:t>
        </w:r>
        <w:r w:rsidRPr="00495D0D">
          <w:rPr>
            <w:rFonts w:ascii="Verdana" w:hAnsi="Verdana"/>
            <w:noProof/>
          </w:rPr>
          <w:fldChar w:fldCharType="end"/>
        </w:r>
        <w:r w:rsidRPr="00495D0D">
          <w:rPr>
            <w:rFonts w:ascii="Verdana" w:hAnsi="Verdana"/>
            <w:noProof/>
          </w:rPr>
          <w:t xml:space="preserve"> of </w:t>
        </w:r>
        <w:r w:rsidRPr="00495D0D">
          <w:rPr>
            <w:rFonts w:ascii="Verdana" w:hAnsi="Verdana"/>
            <w:noProof/>
          </w:rPr>
          <w:fldChar w:fldCharType="begin"/>
        </w:r>
        <w:r w:rsidRPr="00495D0D">
          <w:rPr>
            <w:rFonts w:ascii="Verdana" w:hAnsi="Verdana"/>
            <w:noProof/>
          </w:rPr>
          <w:instrText xml:space="preserve"> NUMPAGES  \* Arabic  \* MERGEFORMAT </w:instrText>
        </w:r>
        <w:r w:rsidRPr="00495D0D">
          <w:rPr>
            <w:rFonts w:ascii="Verdana" w:hAnsi="Verdana"/>
            <w:noProof/>
          </w:rPr>
          <w:fldChar w:fldCharType="separate"/>
        </w:r>
        <w:r w:rsidR="00C60569">
          <w:rPr>
            <w:rFonts w:ascii="Verdana" w:hAnsi="Verdana"/>
            <w:noProof/>
          </w:rPr>
          <w:t>1</w:t>
        </w:r>
        <w:r w:rsidRPr="00495D0D">
          <w:rPr>
            <w:rFonts w:ascii="Verdana" w:hAnsi="Verdan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D14DC" w14:textId="77777777" w:rsidR="00677608" w:rsidRDefault="00677608" w:rsidP="004365FC">
      <w:r>
        <w:separator/>
      </w:r>
    </w:p>
  </w:footnote>
  <w:footnote w:type="continuationSeparator" w:id="0">
    <w:p w14:paraId="6782BD36" w14:textId="77777777" w:rsidR="00677608" w:rsidRDefault="00677608" w:rsidP="00436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E99"/>
    <w:multiLevelType w:val="multilevel"/>
    <w:tmpl w:val="06960D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93FDA"/>
    <w:multiLevelType w:val="hybridMultilevel"/>
    <w:tmpl w:val="97FE7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4AA7"/>
    <w:multiLevelType w:val="hybridMultilevel"/>
    <w:tmpl w:val="2868689E"/>
    <w:lvl w:ilvl="0" w:tplc="79DC71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24EAE"/>
    <w:multiLevelType w:val="multilevel"/>
    <w:tmpl w:val="06960DD4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A8052DA"/>
    <w:multiLevelType w:val="multilevel"/>
    <w:tmpl w:val="A63001CC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theme="minorBidi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cstheme="minorBidi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theme="minorBidi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theme="minorBidi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cstheme="minorBidi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cstheme="minorBidi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theme="minorBidi" w:hint="default"/>
        <w:color w:val="auto"/>
        <w:sz w:val="24"/>
      </w:rPr>
    </w:lvl>
  </w:abstractNum>
  <w:abstractNum w:abstractNumId="5" w15:restartNumberingAfterBreak="0">
    <w:nsid w:val="1F46022F"/>
    <w:multiLevelType w:val="multilevel"/>
    <w:tmpl w:val="739831B0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cstheme="minorBidi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cstheme="minorBidi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theme="minorBidi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theme="minorBidi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cstheme="minorBidi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cstheme="minorBidi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theme="minorBidi" w:hint="default"/>
        <w:color w:val="auto"/>
        <w:sz w:val="24"/>
      </w:rPr>
    </w:lvl>
  </w:abstractNum>
  <w:abstractNum w:abstractNumId="6" w15:restartNumberingAfterBreak="0">
    <w:nsid w:val="1FE24EC2"/>
    <w:multiLevelType w:val="hybridMultilevel"/>
    <w:tmpl w:val="458A1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1403CC"/>
    <w:multiLevelType w:val="hybridMultilevel"/>
    <w:tmpl w:val="5A18B568"/>
    <w:lvl w:ilvl="0" w:tplc="4016F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43B0B"/>
    <w:multiLevelType w:val="hybridMultilevel"/>
    <w:tmpl w:val="B4E4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06BA2"/>
    <w:multiLevelType w:val="hybridMultilevel"/>
    <w:tmpl w:val="0B2E2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03A72"/>
    <w:multiLevelType w:val="hybridMultilevel"/>
    <w:tmpl w:val="B5A86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57ED8"/>
    <w:multiLevelType w:val="multilevel"/>
    <w:tmpl w:val="BD26FB28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C90B03"/>
    <w:multiLevelType w:val="hybridMultilevel"/>
    <w:tmpl w:val="570268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130F8B"/>
    <w:multiLevelType w:val="hybridMultilevel"/>
    <w:tmpl w:val="E94A6654"/>
    <w:lvl w:ilvl="0" w:tplc="B63244C0">
      <w:start w:val="6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C6B22"/>
    <w:multiLevelType w:val="hybridMultilevel"/>
    <w:tmpl w:val="801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F208D"/>
    <w:multiLevelType w:val="multilevel"/>
    <w:tmpl w:val="06960D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137286"/>
    <w:multiLevelType w:val="multilevel"/>
    <w:tmpl w:val="8BAE2FC8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96E79DB"/>
    <w:multiLevelType w:val="multilevel"/>
    <w:tmpl w:val="06960D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4F4E42"/>
    <w:multiLevelType w:val="hybridMultilevel"/>
    <w:tmpl w:val="16F4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A5631"/>
    <w:multiLevelType w:val="hybridMultilevel"/>
    <w:tmpl w:val="C1C4E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7"/>
  </w:num>
  <w:num w:numId="9">
    <w:abstractNumId w:val="11"/>
  </w:num>
  <w:num w:numId="10">
    <w:abstractNumId w:val="15"/>
  </w:num>
  <w:num w:numId="11">
    <w:abstractNumId w:val="19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8"/>
  </w:num>
  <w:num w:numId="17">
    <w:abstractNumId w:val="6"/>
  </w:num>
  <w:num w:numId="18">
    <w:abstractNumId w:val="16"/>
  </w:num>
  <w:num w:numId="19">
    <w:abstractNumId w:val="14"/>
  </w:num>
  <w:num w:numId="20">
    <w:abstractNumId w:val="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C3"/>
    <w:rsid w:val="000014E8"/>
    <w:rsid w:val="00011193"/>
    <w:rsid w:val="00026586"/>
    <w:rsid w:val="00031E4D"/>
    <w:rsid w:val="000567FA"/>
    <w:rsid w:val="0006306A"/>
    <w:rsid w:val="000632D8"/>
    <w:rsid w:val="00065918"/>
    <w:rsid w:val="00072798"/>
    <w:rsid w:val="00075A02"/>
    <w:rsid w:val="00075EDC"/>
    <w:rsid w:val="000764D3"/>
    <w:rsid w:val="000B1E45"/>
    <w:rsid w:val="000B3657"/>
    <w:rsid w:val="000B67A5"/>
    <w:rsid w:val="000C2488"/>
    <w:rsid w:val="000C249F"/>
    <w:rsid w:val="000C2AF9"/>
    <w:rsid w:val="000C46C4"/>
    <w:rsid w:val="000C74CA"/>
    <w:rsid w:val="000E0549"/>
    <w:rsid w:val="000E7D18"/>
    <w:rsid w:val="000F0E27"/>
    <w:rsid w:val="00101577"/>
    <w:rsid w:val="0010638B"/>
    <w:rsid w:val="00111C9D"/>
    <w:rsid w:val="001347A7"/>
    <w:rsid w:val="001437C0"/>
    <w:rsid w:val="001477CF"/>
    <w:rsid w:val="00153CD9"/>
    <w:rsid w:val="00167480"/>
    <w:rsid w:val="00170F6D"/>
    <w:rsid w:val="00175A91"/>
    <w:rsid w:val="001772E2"/>
    <w:rsid w:val="001861EC"/>
    <w:rsid w:val="00186307"/>
    <w:rsid w:val="00187547"/>
    <w:rsid w:val="001879B6"/>
    <w:rsid w:val="001960D8"/>
    <w:rsid w:val="001A1CE5"/>
    <w:rsid w:val="001A2B6A"/>
    <w:rsid w:val="001A4316"/>
    <w:rsid w:val="001A55C7"/>
    <w:rsid w:val="001B1668"/>
    <w:rsid w:val="001D0A8A"/>
    <w:rsid w:val="001D47A9"/>
    <w:rsid w:val="00204D74"/>
    <w:rsid w:val="00220928"/>
    <w:rsid w:val="00221092"/>
    <w:rsid w:val="00224963"/>
    <w:rsid w:val="00224AE4"/>
    <w:rsid w:val="002300E4"/>
    <w:rsid w:val="002415B4"/>
    <w:rsid w:val="00244B10"/>
    <w:rsid w:val="00245FF8"/>
    <w:rsid w:val="0026315D"/>
    <w:rsid w:val="00266527"/>
    <w:rsid w:val="00274EB6"/>
    <w:rsid w:val="00277983"/>
    <w:rsid w:val="00283C88"/>
    <w:rsid w:val="00290A45"/>
    <w:rsid w:val="00291726"/>
    <w:rsid w:val="0029248C"/>
    <w:rsid w:val="002B1FAF"/>
    <w:rsid w:val="002B303D"/>
    <w:rsid w:val="002E71DF"/>
    <w:rsid w:val="002E7535"/>
    <w:rsid w:val="002E763F"/>
    <w:rsid w:val="002E7EC0"/>
    <w:rsid w:val="002F56B6"/>
    <w:rsid w:val="00311444"/>
    <w:rsid w:val="003151D9"/>
    <w:rsid w:val="00316F9B"/>
    <w:rsid w:val="003219F5"/>
    <w:rsid w:val="00336B31"/>
    <w:rsid w:val="003377FC"/>
    <w:rsid w:val="00345D2B"/>
    <w:rsid w:val="003533B2"/>
    <w:rsid w:val="00360868"/>
    <w:rsid w:val="003666E6"/>
    <w:rsid w:val="0037306C"/>
    <w:rsid w:val="00386C04"/>
    <w:rsid w:val="0039099E"/>
    <w:rsid w:val="0039450F"/>
    <w:rsid w:val="00395A61"/>
    <w:rsid w:val="003A0516"/>
    <w:rsid w:val="003A0619"/>
    <w:rsid w:val="003A5057"/>
    <w:rsid w:val="003B6BD7"/>
    <w:rsid w:val="003C7A37"/>
    <w:rsid w:val="003D1899"/>
    <w:rsid w:val="003F0A7E"/>
    <w:rsid w:val="003F77B3"/>
    <w:rsid w:val="0040010A"/>
    <w:rsid w:val="00404833"/>
    <w:rsid w:val="00410BF5"/>
    <w:rsid w:val="00412969"/>
    <w:rsid w:val="004202DC"/>
    <w:rsid w:val="00420A09"/>
    <w:rsid w:val="00430836"/>
    <w:rsid w:val="00432846"/>
    <w:rsid w:val="004365FC"/>
    <w:rsid w:val="0044377B"/>
    <w:rsid w:val="00451A4D"/>
    <w:rsid w:val="004539F5"/>
    <w:rsid w:val="004606B1"/>
    <w:rsid w:val="00462D6A"/>
    <w:rsid w:val="0047631C"/>
    <w:rsid w:val="0049279B"/>
    <w:rsid w:val="00497C9B"/>
    <w:rsid w:val="004A2994"/>
    <w:rsid w:val="004A7ACB"/>
    <w:rsid w:val="004C3DE3"/>
    <w:rsid w:val="004E342B"/>
    <w:rsid w:val="00511F58"/>
    <w:rsid w:val="0052549F"/>
    <w:rsid w:val="0052797F"/>
    <w:rsid w:val="00536BEB"/>
    <w:rsid w:val="005376E3"/>
    <w:rsid w:val="00537FF3"/>
    <w:rsid w:val="00544CFF"/>
    <w:rsid w:val="005552F1"/>
    <w:rsid w:val="005707F7"/>
    <w:rsid w:val="0057614E"/>
    <w:rsid w:val="00591FF3"/>
    <w:rsid w:val="005B48F7"/>
    <w:rsid w:val="005C43F8"/>
    <w:rsid w:val="005C5C2C"/>
    <w:rsid w:val="005C6E72"/>
    <w:rsid w:val="005E6127"/>
    <w:rsid w:val="005F7E5D"/>
    <w:rsid w:val="00603E7C"/>
    <w:rsid w:val="00604C8D"/>
    <w:rsid w:val="00611AA0"/>
    <w:rsid w:val="00616481"/>
    <w:rsid w:val="00627231"/>
    <w:rsid w:val="00634FB9"/>
    <w:rsid w:val="00644753"/>
    <w:rsid w:val="00650869"/>
    <w:rsid w:val="00651958"/>
    <w:rsid w:val="0065228F"/>
    <w:rsid w:val="00661144"/>
    <w:rsid w:val="00662062"/>
    <w:rsid w:val="00667A30"/>
    <w:rsid w:val="00670017"/>
    <w:rsid w:val="00677608"/>
    <w:rsid w:val="00684A45"/>
    <w:rsid w:val="00696644"/>
    <w:rsid w:val="006B4C89"/>
    <w:rsid w:val="006E4DFD"/>
    <w:rsid w:val="006E55EE"/>
    <w:rsid w:val="006F251C"/>
    <w:rsid w:val="006F2996"/>
    <w:rsid w:val="006F4276"/>
    <w:rsid w:val="00704088"/>
    <w:rsid w:val="00714A91"/>
    <w:rsid w:val="0073043C"/>
    <w:rsid w:val="00731D8C"/>
    <w:rsid w:val="007329F9"/>
    <w:rsid w:val="00733E6B"/>
    <w:rsid w:val="00735B9E"/>
    <w:rsid w:val="00774E1B"/>
    <w:rsid w:val="00782CF4"/>
    <w:rsid w:val="007830A3"/>
    <w:rsid w:val="007A1527"/>
    <w:rsid w:val="007B263A"/>
    <w:rsid w:val="007C0A31"/>
    <w:rsid w:val="007C0FD2"/>
    <w:rsid w:val="007D316B"/>
    <w:rsid w:val="007D61F3"/>
    <w:rsid w:val="007E2CBC"/>
    <w:rsid w:val="007F7275"/>
    <w:rsid w:val="00814C39"/>
    <w:rsid w:val="00816DE7"/>
    <w:rsid w:val="008211DF"/>
    <w:rsid w:val="00822A28"/>
    <w:rsid w:val="00831C72"/>
    <w:rsid w:val="008361DE"/>
    <w:rsid w:val="0084242E"/>
    <w:rsid w:val="00847310"/>
    <w:rsid w:val="00867513"/>
    <w:rsid w:val="008748BB"/>
    <w:rsid w:val="00875D00"/>
    <w:rsid w:val="00882BB8"/>
    <w:rsid w:val="00884061"/>
    <w:rsid w:val="00887D5D"/>
    <w:rsid w:val="00893476"/>
    <w:rsid w:val="008A0B99"/>
    <w:rsid w:val="008A49C5"/>
    <w:rsid w:val="008A4D03"/>
    <w:rsid w:val="008B0B1A"/>
    <w:rsid w:val="008B62CE"/>
    <w:rsid w:val="008B6454"/>
    <w:rsid w:val="008C7400"/>
    <w:rsid w:val="008D3AEA"/>
    <w:rsid w:val="008E1B09"/>
    <w:rsid w:val="00901069"/>
    <w:rsid w:val="009138B2"/>
    <w:rsid w:val="00937EB4"/>
    <w:rsid w:val="00942EA1"/>
    <w:rsid w:val="0095092C"/>
    <w:rsid w:val="00956E9A"/>
    <w:rsid w:val="00957F71"/>
    <w:rsid w:val="0096392C"/>
    <w:rsid w:val="00971FCF"/>
    <w:rsid w:val="00972E7B"/>
    <w:rsid w:val="00975825"/>
    <w:rsid w:val="0097632A"/>
    <w:rsid w:val="0097799F"/>
    <w:rsid w:val="009936A6"/>
    <w:rsid w:val="0099539D"/>
    <w:rsid w:val="009A0D2B"/>
    <w:rsid w:val="009B0724"/>
    <w:rsid w:val="009B2512"/>
    <w:rsid w:val="009B2638"/>
    <w:rsid w:val="009C2B77"/>
    <w:rsid w:val="009C34C9"/>
    <w:rsid w:val="009D7C69"/>
    <w:rsid w:val="009E020D"/>
    <w:rsid w:val="009E55A8"/>
    <w:rsid w:val="009F471A"/>
    <w:rsid w:val="00A002BB"/>
    <w:rsid w:val="00A07245"/>
    <w:rsid w:val="00A0736D"/>
    <w:rsid w:val="00A11C7A"/>
    <w:rsid w:val="00A1244A"/>
    <w:rsid w:val="00A40DD9"/>
    <w:rsid w:val="00A60D51"/>
    <w:rsid w:val="00A87838"/>
    <w:rsid w:val="00AA02A8"/>
    <w:rsid w:val="00AA0737"/>
    <w:rsid w:val="00AA40EF"/>
    <w:rsid w:val="00AA5E4B"/>
    <w:rsid w:val="00AB2F1B"/>
    <w:rsid w:val="00AC3805"/>
    <w:rsid w:val="00AE3A62"/>
    <w:rsid w:val="00AE485E"/>
    <w:rsid w:val="00AF4833"/>
    <w:rsid w:val="00AF5004"/>
    <w:rsid w:val="00B06E71"/>
    <w:rsid w:val="00B11A23"/>
    <w:rsid w:val="00B11CB8"/>
    <w:rsid w:val="00B16687"/>
    <w:rsid w:val="00B47724"/>
    <w:rsid w:val="00B52BEB"/>
    <w:rsid w:val="00B57338"/>
    <w:rsid w:val="00B61173"/>
    <w:rsid w:val="00B62444"/>
    <w:rsid w:val="00B642ED"/>
    <w:rsid w:val="00B715E6"/>
    <w:rsid w:val="00B804B1"/>
    <w:rsid w:val="00B8195E"/>
    <w:rsid w:val="00B81FC9"/>
    <w:rsid w:val="00B9123E"/>
    <w:rsid w:val="00B97980"/>
    <w:rsid w:val="00BA6C19"/>
    <w:rsid w:val="00BC2348"/>
    <w:rsid w:val="00BC37BA"/>
    <w:rsid w:val="00BC73BE"/>
    <w:rsid w:val="00BD25CC"/>
    <w:rsid w:val="00BD35BE"/>
    <w:rsid w:val="00BD5E9A"/>
    <w:rsid w:val="00BD7648"/>
    <w:rsid w:val="00BE0D03"/>
    <w:rsid w:val="00BE4AAA"/>
    <w:rsid w:val="00BE70DA"/>
    <w:rsid w:val="00C00C8F"/>
    <w:rsid w:val="00C07095"/>
    <w:rsid w:val="00C10A88"/>
    <w:rsid w:val="00C124C9"/>
    <w:rsid w:val="00C12DD5"/>
    <w:rsid w:val="00C16E77"/>
    <w:rsid w:val="00C206D9"/>
    <w:rsid w:val="00C236BF"/>
    <w:rsid w:val="00C32B9E"/>
    <w:rsid w:val="00C60569"/>
    <w:rsid w:val="00C6645A"/>
    <w:rsid w:val="00C72AA7"/>
    <w:rsid w:val="00C76747"/>
    <w:rsid w:val="00C816A2"/>
    <w:rsid w:val="00C83FA8"/>
    <w:rsid w:val="00CA0707"/>
    <w:rsid w:val="00CC589B"/>
    <w:rsid w:val="00CD5ED9"/>
    <w:rsid w:val="00CF71B0"/>
    <w:rsid w:val="00D01175"/>
    <w:rsid w:val="00D038AD"/>
    <w:rsid w:val="00D17CDE"/>
    <w:rsid w:val="00D24E6B"/>
    <w:rsid w:val="00D2624C"/>
    <w:rsid w:val="00D30154"/>
    <w:rsid w:val="00D37DC3"/>
    <w:rsid w:val="00D436E9"/>
    <w:rsid w:val="00D542E2"/>
    <w:rsid w:val="00D65C85"/>
    <w:rsid w:val="00D775F4"/>
    <w:rsid w:val="00D83049"/>
    <w:rsid w:val="00D83460"/>
    <w:rsid w:val="00D8585B"/>
    <w:rsid w:val="00D94E39"/>
    <w:rsid w:val="00DA4F7A"/>
    <w:rsid w:val="00DA51A2"/>
    <w:rsid w:val="00DB687D"/>
    <w:rsid w:val="00DD1D5F"/>
    <w:rsid w:val="00DD72CC"/>
    <w:rsid w:val="00DE0542"/>
    <w:rsid w:val="00DE21C3"/>
    <w:rsid w:val="00E017C1"/>
    <w:rsid w:val="00E02B85"/>
    <w:rsid w:val="00E0682F"/>
    <w:rsid w:val="00E10CA4"/>
    <w:rsid w:val="00E412DC"/>
    <w:rsid w:val="00E41856"/>
    <w:rsid w:val="00E4213A"/>
    <w:rsid w:val="00E42693"/>
    <w:rsid w:val="00E446A8"/>
    <w:rsid w:val="00E467AF"/>
    <w:rsid w:val="00E51B31"/>
    <w:rsid w:val="00E80074"/>
    <w:rsid w:val="00E87C9D"/>
    <w:rsid w:val="00E93616"/>
    <w:rsid w:val="00E93CAB"/>
    <w:rsid w:val="00E9544E"/>
    <w:rsid w:val="00EC11C2"/>
    <w:rsid w:val="00ED2F63"/>
    <w:rsid w:val="00ED5245"/>
    <w:rsid w:val="00EF4398"/>
    <w:rsid w:val="00EF572B"/>
    <w:rsid w:val="00F30697"/>
    <w:rsid w:val="00F37FEE"/>
    <w:rsid w:val="00F44886"/>
    <w:rsid w:val="00F459B7"/>
    <w:rsid w:val="00F45EE4"/>
    <w:rsid w:val="00F47608"/>
    <w:rsid w:val="00F51174"/>
    <w:rsid w:val="00F763A8"/>
    <w:rsid w:val="00F77FDB"/>
    <w:rsid w:val="00F86941"/>
    <w:rsid w:val="00FA1EC4"/>
    <w:rsid w:val="00FA48B0"/>
    <w:rsid w:val="00FA6FDB"/>
    <w:rsid w:val="00FA7EF3"/>
    <w:rsid w:val="00FB4A16"/>
    <w:rsid w:val="00FC1757"/>
    <w:rsid w:val="00FC3FF3"/>
    <w:rsid w:val="00FC7C9C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C37B5"/>
  <w15:docId w15:val="{ADE138A5-CDF5-41BC-A89D-AADEB93C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C3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D37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FC"/>
  </w:style>
  <w:style w:type="paragraph" w:styleId="Footer">
    <w:name w:val="footer"/>
    <w:basedOn w:val="Normal"/>
    <w:link w:val="FooterChar"/>
    <w:uiPriority w:val="99"/>
    <w:unhideWhenUsed/>
    <w:rsid w:val="00436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FC"/>
  </w:style>
  <w:style w:type="paragraph" w:styleId="BodyTextIndent">
    <w:name w:val="Body Text Indent"/>
    <w:basedOn w:val="Normal"/>
    <w:link w:val="BodyTextIndentChar"/>
    <w:rsid w:val="00BE0D03"/>
    <w:pPr>
      <w:ind w:left="720"/>
    </w:pPr>
    <w:rPr>
      <w:rFonts w:ascii="Verdana" w:eastAsia="Times New Roman" w:hAnsi="Verdana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BE0D03"/>
    <w:rPr>
      <w:rFonts w:ascii="Verdana" w:eastAsia="Times New Roman" w:hAnsi="Verdana" w:cs="Times New Roman"/>
    </w:rPr>
  </w:style>
  <w:style w:type="paragraph" w:customStyle="1" w:styleId="Default">
    <w:name w:val="Default"/>
    <w:rsid w:val="00BE0D03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table" w:styleId="TableGrid">
    <w:name w:val="Table Grid"/>
    <w:basedOn w:val="TableNormal"/>
    <w:uiPriority w:val="59"/>
    <w:rsid w:val="00E4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4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chemes-for-financing-schoo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69E0-4A4C-4CAA-995D-8AC02EAE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R.B.K.C.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EDUALJU</dc:creator>
  <cp:lastModifiedBy>Tagg, Andrew: CS-Fin: RBKC</cp:lastModifiedBy>
  <cp:revision>2</cp:revision>
  <dcterms:created xsi:type="dcterms:W3CDTF">2017-03-14T22:11:00Z</dcterms:created>
  <dcterms:modified xsi:type="dcterms:W3CDTF">2017-03-14T22:11:00Z</dcterms:modified>
</cp:coreProperties>
</file>