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AA6C" w14:textId="7AC5D9B7" w:rsidR="007C0FD2" w:rsidRPr="00395A61" w:rsidRDefault="00395A61" w:rsidP="00395A61">
      <w:pPr>
        <w:spacing w:line="360" w:lineRule="auto"/>
        <w:ind w:left="851" w:hanging="851"/>
        <w:jc w:val="right"/>
        <w:rPr>
          <w:rFonts w:ascii="Verdana" w:eastAsia="Times New Roman" w:hAnsi="Verdana" w:cs="Times New Roman"/>
          <w:b/>
          <w:noProof/>
          <w:sz w:val="48"/>
          <w:lang w:val="en-US"/>
        </w:rPr>
      </w:pPr>
      <w:r>
        <w:rPr>
          <w:rFonts w:ascii="Verdana" w:eastAsia="Times New Roman" w:hAnsi="Verdana" w:cs="Times New Roman"/>
          <w:b/>
          <w:noProof/>
          <w:sz w:val="48"/>
          <w:lang w:val="en-US"/>
        </w:rPr>
        <w:t>A</w:t>
      </w:r>
      <w:r w:rsidR="005707F7">
        <w:rPr>
          <w:rFonts w:ascii="Verdana" w:eastAsia="Times New Roman" w:hAnsi="Verdana" w:cs="Times New Roman"/>
          <w:b/>
          <w:noProof/>
          <w:sz w:val="48"/>
          <w:lang w:val="en-US"/>
        </w:rPr>
        <w:t>6</w:t>
      </w:r>
    </w:p>
    <w:p w14:paraId="0339F231" w14:textId="57A2C604" w:rsidR="00BE0D03" w:rsidRPr="00E446A8" w:rsidRDefault="005707F7" w:rsidP="007C0A31">
      <w:pPr>
        <w:spacing w:line="360" w:lineRule="auto"/>
        <w:ind w:left="851" w:hanging="851"/>
        <w:jc w:val="center"/>
        <w:rPr>
          <w:rFonts w:ascii="Verdana" w:eastAsia="Times New Roman" w:hAnsi="Verdana" w:cs="Times New Roman"/>
          <w:b/>
          <w:noProof/>
          <w:lang w:val="en-US"/>
        </w:rPr>
      </w:pPr>
      <w:r>
        <w:rPr>
          <w:rFonts w:ascii="Verdana" w:eastAsia="Times New Roman" w:hAnsi="Verdana" w:cs="Times New Roman"/>
          <w:b/>
          <w:noProof/>
          <w:lang w:val="en-US"/>
        </w:rPr>
        <w:t>WESTMINSTER CITY COUNCIL</w:t>
      </w:r>
    </w:p>
    <w:p w14:paraId="610CE624" w14:textId="173A734F" w:rsidR="00BE0D03" w:rsidRPr="00E446A8" w:rsidRDefault="00BE0D03" w:rsidP="007C0A31">
      <w:pPr>
        <w:spacing w:line="360" w:lineRule="auto"/>
        <w:ind w:left="851" w:hanging="851"/>
        <w:jc w:val="center"/>
        <w:rPr>
          <w:rFonts w:ascii="Verdana" w:eastAsia="Times New Roman" w:hAnsi="Verdana" w:cs="Times New Roman"/>
          <w:b/>
          <w:noProof/>
          <w:lang w:val="en-US"/>
        </w:rPr>
      </w:pPr>
      <w:r w:rsidRPr="00E446A8">
        <w:rPr>
          <w:rFonts w:ascii="Verdana" w:eastAsia="Times New Roman" w:hAnsi="Verdana" w:cs="Times New Roman"/>
          <w:b/>
          <w:noProof/>
          <w:lang w:val="en-US"/>
        </w:rPr>
        <w:t>SCHOOLS</w:t>
      </w:r>
      <w:r w:rsidR="003533B2">
        <w:rPr>
          <w:rFonts w:ascii="Verdana" w:eastAsia="Times New Roman" w:hAnsi="Verdana" w:cs="Times New Roman"/>
          <w:b/>
          <w:noProof/>
          <w:lang w:val="en-US"/>
        </w:rPr>
        <w:t>’</w:t>
      </w:r>
      <w:r w:rsidRPr="00E446A8">
        <w:rPr>
          <w:rFonts w:ascii="Verdana" w:eastAsia="Times New Roman" w:hAnsi="Verdana" w:cs="Times New Roman"/>
          <w:b/>
          <w:noProof/>
          <w:lang w:val="en-US"/>
        </w:rPr>
        <w:t xml:space="preserve"> FORUM </w:t>
      </w:r>
      <w:r w:rsidR="00BD25CC">
        <w:rPr>
          <w:rFonts w:ascii="Verdana" w:eastAsia="Times New Roman" w:hAnsi="Verdana" w:cs="Times New Roman"/>
          <w:b/>
          <w:noProof/>
          <w:lang w:val="en-US"/>
        </w:rPr>
        <w:t>–</w:t>
      </w:r>
      <w:r w:rsidR="003533B2">
        <w:rPr>
          <w:rFonts w:ascii="Verdana" w:eastAsia="Times New Roman" w:hAnsi="Verdana" w:cs="Times New Roman"/>
          <w:b/>
          <w:noProof/>
          <w:lang w:val="en-US"/>
        </w:rPr>
        <w:t xml:space="preserve"> </w:t>
      </w:r>
      <w:r w:rsidR="005707F7">
        <w:rPr>
          <w:rFonts w:ascii="Verdana" w:eastAsia="Times New Roman" w:hAnsi="Verdana" w:cs="Times New Roman"/>
          <w:b/>
          <w:noProof/>
          <w:lang w:val="en-US"/>
        </w:rPr>
        <w:t>16</w:t>
      </w:r>
      <w:r w:rsidR="005707F7">
        <w:rPr>
          <w:rFonts w:ascii="Verdana" w:eastAsia="Times New Roman" w:hAnsi="Verdana" w:cs="Times New Roman"/>
          <w:b/>
          <w:noProof/>
          <w:vertAlign w:val="superscript"/>
          <w:lang w:val="en-US"/>
        </w:rPr>
        <w:t xml:space="preserve">TH </w:t>
      </w:r>
      <w:r w:rsidR="003F77B3">
        <w:rPr>
          <w:rFonts w:ascii="Verdana" w:eastAsia="Times New Roman" w:hAnsi="Verdana" w:cs="Times New Roman"/>
          <w:b/>
          <w:noProof/>
          <w:lang w:val="en-US"/>
        </w:rPr>
        <w:t>JANUARY</w:t>
      </w:r>
      <w:r w:rsidRPr="00E446A8">
        <w:rPr>
          <w:rFonts w:ascii="Verdana" w:eastAsia="Times New Roman" w:hAnsi="Verdana" w:cs="Times New Roman"/>
          <w:b/>
          <w:noProof/>
          <w:lang w:val="en-US"/>
        </w:rPr>
        <w:t xml:space="preserve"> 201</w:t>
      </w:r>
      <w:r w:rsidR="003F77B3">
        <w:rPr>
          <w:rFonts w:ascii="Verdana" w:eastAsia="Times New Roman" w:hAnsi="Verdana" w:cs="Times New Roman"/>
          <w:b/>
          <w:noProof/>
          <w:lang w:val="en-US"/>
        </w:rPr>
        <w:t>7</w:t>
      </w:r>
    </w:p>
    <w:p w14:paraId="46E5D097" w14:textId="77777777" w:rsidR="00BE0D03" w:rsidRPr="00E446A8" w:rsidRDefault="00BE0D03" w:rsidP="007C0A31">
      <w:pPr>
        <w:spacing w:line="360" w:lineRule="auto"/>
        <w:jc w:val="center"/>
        <w:rPr>
          <w:rFonts w:ascii="Verdana" w:hAnsi="Verdana"/>
          <w:b/>
        </w:rPr>
      </w:pPr>
      <w:r w:rsidRPr="00E446A8">
        <w:rPr>
          <w:rFonts w:ascii="Verdana" w:hAnsi="Verdana"/>
          <w:b/>
        </w:rPr>
        <w:t>REPORT BY HEAD OF RESOURCES</w:t>
      </w:r>
    </w:p>
    <w:p w14:paraId="798015B5" w14:textId="796D8657" w:rsidR="00BE0D03" w:rsidRPr="00E446A8" w:rsidRDefault="002E71DF" w:rsidP="007C0A31">
      <w:pPr>
        <w:spacing w:line="360" w:lineRule="auto"/>
        <w:jc w:val="center"/>
        <w:rPr>
          <w:rFonts w:ascii="Verdana" w:hAnsi="Verdana"/>
          <w:b/>
        </w:rPr>
      </w:pPr>
      <w:r>
        <w:rPr>
          <w:rFonts w:ascii="Verdana" w:hAnsi="Verdana"/>
          <w:b/>
        </w:rPr>
        <w:t>SCHEME FOR FINANCING SCHOOLS</w:t>
      </w:r>
    </w:p>
    <w:p w14:paraId="41CDAD53" w14:textId="77777777" w:rsidR="003533B2" w:rsidRDefault="003533B2" w:rsidP="003533B2">
      <w:pPr>
        <w:spacing w:line="360" w:lineRule="auto"/>
        <w:jc w:val="center"/>
        <w:rPr>
          <w:rFonts w:ascii="Verdana" w:hAnsi="Verdana" w:cs="Calibri"/>
          <w:b/>
        </w:rPr>
      </w:pPr>
    </w:p>
    <w:tbl>
      <w:tblPr>
        <w:tblStyle w:val="TableGrid"/>
        <w:tblW w:w="0" w:type="auto"/>
        <w:tblLook w:val="04A0" w:firstRow="1" w:lastRow="0" w:firstColumn="1" w:lastColumn="0" w:noHBand="0" w:noVBand="1"/>
      </w:tblPr>
      <w:tblGrid>
        <w:gridCol w:w="9016"/>
      </w:tblGrid>
      <w:tr w:rsidR="003533B2" w14:paraId="6DC14F3E" w14:textId="77777777" w:rsidTr="0047631C">
        <w:tc>
          <w:tcPr>
            <w:tcW w:w="9016" w:type="dxa"/>
          </w:tcPr>
          <w:p w14:paraId="0A7F2AA3" w14:textId="77777777" w:rsidR="003533B2" w:rsidRPr="008548B0" w:rsidRDefault="003533B2" w:rsidP="00111C9D">
            <w:pPr>
              <w:spacing w:line="360" w:lineRule="auto"/>
              <w:rPr>
                <w:rFonts w:ascii="Verdana" w:hAnsi="Verdana" w:cs="Calibri"/>
                <w:b/>
              </w:rPr>
            </w:pPr>
            <w:r w:rsidRPr="008548B0">
              <w:rPr>
                <w:rFonts w:ascii="Verdana" w:hAnsi="Verdana" w:cs="Calibri"/>
                <w:b/>
              </w:rPr>
              <w:t>Purpose of the report</w:t>
            </w:r>
          </w:p>
          <w:p w14:paraId="4B936EC1" w14:textId="484B270F" w:rsidR="00BE4AAA" w:rsidRDefault="00E0682F" w:rsidP="00111C9D">
            <w:pPr>
              <w:pStyle w:val="Default"/>
              <w:spacing w:line="360" w:lineRule="auto"/>
              <w:jc w:val="both"/>
              <w:rPr>
                <w:sz w:val="23"/>
                <w:szCs w:val="23"/>
              </w:rPr>
            </w:pPr>
            <w:r>
              <w:rPr>
                <w:sz w:val="23"/>
                <w:szCs w:val="23"/>
              </w:rPr>
              <w:t xml:space="preserve">This report sets out </w:t>
            </w:r>
            <w:r w:rsidR="0006306A">
              <w:rPr>
                <w:sz w:val="23"/>
                <w:szCs w:val="23"/>
              </w:rPr>
              <w:t xml:space="preserve">the most recent </w:t>
            </w:r>
            <w:r w:rsidR="002E71DF">
              <w:rPr>
                <w:sz w:val="23"/>
                <w:szCs w:val="23"/>
              </w:rPr>
              <w:t xml:space="preserve">updates </w:t>
            </w:r>
            <w:r w:rsidR="0006306A">
              <w:rPr>
                <w:sz w:val="23"/>
                <w:szCs w:val="23"/>
              </w:rPr>
              <w:t xml:space="preserve">to </w:t>
            </w:r>
            <w:r w:rsidR="002E71DF">
              <w:rPr>
                <w:sz w:val="23"/>
                <w:szCs w:val="23"/>
              </w:rPr>
              <w:t xml:space="preserve">the </w:t>
            </w:r>
            <w:r w:rsidR="0006306A">
              <w:rPr>
                <w:sz w:val="23"/>
                <w:szCs w:val="23"/>
              </w:rPr>
              <w:t xml:space="preserve">Authority’s </w:t>
            </w:r>
            <w:r w:rsidR="001A1CE5">
              <w:rPr>
                <w:sz w:val="23"/>
                <w:szCs w:val="23"/>
              </w:rPr>
              <w:t xml:space="preserve">Scheme for Financing Schools, a comparison of key changes against the existing policy </w:t>
            </w:r>
            <w:r w:rsidR="008748BB">
              <w:rPr>
                <w:sz w:val="23"/>
                <w:szCs w:val="23"/>
              </w:rPr>
              <w:t xml:space="preserve">and recommendations for </w:t>
            </w:r>
            <w:r w:rsidR="008B0B1A">
              <w:rPr>
                <w:sz w:val="23"/>
                <w:szCs w:val="23"/>
              </w:rPr>
              <w:t xml:space="preserve">a </w:t>
            </w:r>
            <w:r w:rsidR="008748BB">
              <w:rPr>
                <w:sz w:val="23"/>
                <w:szCs w:val="23"/>
              </w:rPr>
              <w:t>consultation</w:t>
            </w:r>
            <w:r>
              <w:rPr>
                <w:sz w:val="23"/>
                <w:szCs w:val="23"/>
              </w:rPr>
              <w:t xml:space="preserve"> on the policy</w:t>
            </w:r>
            <w:r w:rsidR="0006306A">
              <w:rPr>
                <w:sz w:val="23"/>
                <w:szCs w:val="23"/>
              </w:rPr>
              <w:t>.</w:t>
            </w:r>
          </w:p>
          <w:p w14:paraId="797085D2" w14:textId="77777777" w:rsidR="0049279B" w:rsidRDefault="0049279B" w:rsidP="00111C9D">
            <w:pPr>
              <w:spacing w:line="360" w:lineRule="auto"/>
              <w:jc w:val="right"/>
              <w:rPr>
                <w:rFonts w:ascii="Verdana" w:hAnsi="Verdana"/>
                <w:b/>
                <w:iCs/>
              </w:rPr>
            </w:pPr>
          </w:p>
          <w:p w14:paraId="720CBD26" w14:textId="368C257F" w:rsidR="00BE4AAA" w:rsidRPr="00BE4AAA" w:rsidRDefault="00BE4AAA" w:rsidP="00BD25CC">
            <w:pPr>
              <w:spacing w:line="360" w:lineRule="auto"/>
              <w:jc w:val="right"/>
              <w:rPr>
                <w:rFonts w:ascii="Verdana" w:hAnsi="Verdana"/>
                <w:i/>
                <w:iCs/>
              </w:rPr>
            </w:pPr>
            <w:r w:rsidRPr="00BE4AAA">
              <w:rPr>
                <w:rFonts w:ascii="Verdana" w:hAnsi="Verdana"/>
                <w:b/>
                <w:iCs/>
              </w:rPr>
              <w:t xml:space="preserve">FOR </w:t>
            </w:r>
            <w:r w:rsidR="00BD25CC">
              <w:rPr>
                <w:rFonts w:ascii="Verdana" w:hAnsi="Verdana"/>
                <w:b/>
                <w:iCs/>
              </w:rPr>
              <w:t>APPROVAL</w:t>
            </w:r>
          </w:p>
        </w:tc>
      </w:tr>
    </w:tbl>
    <w:p w14:paraId="2C09E1DB" w14:textId="77777777" w:rsidR="00BE0D03" w:rsidRPr="00E446A8" w:rsidRDefault="00BE0D03" w:rsidP="007C0A31">
      <w:pPr>
        <w:spacing w:line="360" w:lineRule="auto"/>
        <w:rPr>
          <w:rFonts w:ascii="Verdana" w:hAnsi="Verdana"/>
        </w:rPr>
      </w:pPr>
    </w:p>
    <w:p w14:paraId="122A4A6E" w14:textId="77777777" w:rsidR="00BE0D03" w:rsidRPr="00E446A8" w:rsidRDefault="00BE0D03" w:rsidP="007C0A31">
      <w:pPr>
        <w:spacing w:line="360" w:lineRule="auto"/>
        <w:rPr>
          <w:rFonts w:ascii="Verdana" w:hAnsi="Verdana"/>
        </w:rPr>
      </w:pPr>
    </w:p>
    <w:p w14:paraId="7B761674" w14:textId="67982A85" w:rsidR="00BE0D03" w:rsidRPr="00E446A8" w:rsidRDefault="001861EC" w:rsidP="00DD72CC">
      <w:pPr>
        <w:pStyle w:val="Default"/>
        <w:numPr>
          <w:ilvl w:val="0"/>
          <w:numId w:val="4"/>
        </w:numPr>
        <w:spacing w:line="360" w:lineRule="auto"/>
        <w:ind w:left="851" w:hanging="851"/>
        <w:jc w:val="both"/>
        <w:rPr>
          <w:b/>
          <w:bCs/>
        </w:rPr>
      </w:pPr>
      <w:r>
        <w:rPr>
          <w:b/>
          <w:bCs/>
        </w:rPr>
        <w:t>Introduction</w:t>
      </w:r>
    </w:p>
    <w:p w14:paraId="79895C39" w14:textId="677EC5BB" w:rsidR="00360868" w:rsidRPr="00D542E2" w:rsidRDefault="00360868" w:rsidP="00D542E2">
      <w:pPr>
        <w:pStyle w:val="ListParagraph"/>
        <w:numPr>
          <w:ilvl w:val="1"/>
          <w:numId w:val="5"/>
        </w:numPr>
        <w:spacing w:line="360" w:lineRule="auto"/>
        <w:ind w:left="851" w:hanging="851"/>
        <w:jc w:val="both"/>
        <w:rPr>
          <w:rFonts w:ascii="Verdana" w:hAnsi="Verdana"/>
        </w:rPr>
      </w:pPr>
      <w:r w:rsidRPr="00360868">
        <w:rPr>
          <w:rFonts w:ascii="Verdana" w:hAnsi="Verdana"/>
        </w:rPr>
        <w:t xml:space="preserve">The Scheme for Financing Schools </w:t>
      </w:r>
      <w:r>
        <w:rPr>
          <w:rFonts w:ascii="Verdana" w:hAnsi="Verdana"/>
        </w:rPr>
        <w:t xml:space="preserve">(the “policy”) </w:t>
      </w:r>
      <w:r w:rsidRPr="00360868">
        <w:rPr>
          <w:rFonts w:ascii="Verdana" w:hAnsi="Verdana"/>
        </w:rPr>
        <w:t>sets out</w:t>
      </w:r>
      <w:r>
        <w:rPr>
          <w:rFonts w:ascii="Verdana" w:hAnsi="Verdana"/>
        </w:rPr>
        <w:t xml:space="preserve"> the</w:t>
      </w:r>
      <w:r w:rsidRPr="00360868">
        <w:rPr>
          <w:rFonts w:ascii="Verdana" w:hAnsi="Verdana"/>
        </w:rPr>
        <w:t xml:space="preserve"> financial relationship between the </w:t>
      </w:r>
      <w:r w:rsidR="0084242E">
        <w:rPr>
          <w:rFonts w:ascii="Verdana" w:hAnsi="Verdana"/>
        </w:rPr>
        <w:t xml:space="preserve">Local </w:t>
      </w:r>
      <w:r w:rsidRPr="00360868">
        <w:rPr>
          <w:rFonts w:ascii="Verdana" w:hAnsi="Verdana"/>
        </w:rPr>
        <w:t xml:space="preserve">Authority and the maintained schools that it funds.  It contains </w:t>
      </w:r>
      <w:r w:rsidRPr="00D542E2">
        <w:rPr>
          <w:rFonts w:ascii="Verdana" w:hAnsi="Verdana"/>
        </w:rPr>
        <w:t xml:space="preserve">requirements relating </w:t>
      </w:r>
      <w:r w:rsidR="00C236BF">
        <w:rPr>
          <w:rFonts w:ascii="Verdana" w:hAnsi="Verdana"/>
        </w:rPr>
        <w:t>to the</w:t>
      </w:r>
      <w:r w:rsidRPr="00D542E2">
        <w:rPr>
          <w:rFonts w:ascii="Verdana" w:hAnsi="Verdana"/>
        </w:rPr>
        <w:t xml:space="preserve"> financial management </w:t>
      </w:r>
      <w:r w:rsidR="00D542E2">
        <w:rPr>
          <w:rFonts w:ascii="Verdana" w:hAnsi="Verdana"/>
        </w:rPr>
        <w:t xml:space="preserve">of </w:t>
      </w:r>
      <w:r w:rsidRPr="00D542E2">
        <w:rPr>
          <w:rFonts w:ascii="Verdana" w:hAnsi="Verdana"/>
        </w:rPr>
        <w:t>its schools.</w:t>
      </w:r>
    </w:p>
    <w:p w14:paraId="281EB5D6" w14:textId="54617078" w:rsidR="00D2624C" w:rsidRDefault="00360868" w:rsidP="00072131">
      <w:pPr>
        <w:pStyle w:val="ListParagraph"/>
        <w:numPr>
          <w:ilvl w:val="1"/>
          <w:numId w:val="5"/>
        </w:numPr>
        <w:spacing w:line="360" w:lineRule="auto"/>
        <w:ind w:left="851" w:hanging="851"/>
        <w:jc w:val="both"/>
        <w:rPr>
          <w:rFonts w:ascii="Verdana" w:hAnsi="Verdana"/>
        </w:rPr>
      </w:pPr>
      <w:r w:rsidRPr="00D542E2">
        <w:rPr>
          <w:rFonts w:ascii="Verdana" w:hAnsi="Verdana"/>
        </w:rPr>
        <w:t xml:space="preserve">The existing </w:t>
      </w:r>
      <w:r w:rsidR="0084242E" w:rsidRPr="00D542E2">
        <w:rPr>
          <w:rFonts w:ascii="Verdana" w:hAnsi="Verdana"/>
        </w:rPr>
        <w:t xml:space="preserve">Local Authority </w:t>
      </w:r>
      <w:r w:rsidR="00F86941" w:rsidRPr="00D542E2">
        <w:rPr>
          <w:rFonts w:ascii="Verdana" w:hAnsi="Verdana"/>
        </w:rPr>
        <w:t>policy</w:t>
      </w:r>
      <w:r w:rsidR="00D2624C">
        <w:rPr>
          <w:rFonts w:ascii="Verdana" w:hAnsi="Verdana"/>
        </w:rPr>
        <w:t xml:space="preserve"> was last updated </w:t>
      </w:r>
      <w:r w:rsidR="00153CD9">
        <w:rPr>
          <w:rFonts w:ascii="Verdana" w:hAnsi="Verdana"/>
        </w:rPr>
        <w:t>in January 2007</w:t>
      </w:r>
      <w:bookmarkStart w:id="0" w:name="_GoBack"/>
      <w:bookmarkEnd w:id="0"/>
      <w:r w:rsidRPr="00D542E2">
        <w:rPr>
          <w:rFonts w:ascii="Verdana" w:hAnsi="Verdana"/>
        </w:rPr>
        <w:t xml:space="preserve">. The Department for Education </w:t>
      </w:r>
      <w:r w:rsidR="00F86941" w:rsidRPr="00D542E2">
        <w:rPr>
          <w:rFonts w:ascii="Verdana" w:hAnsi="Verdana"/>
        </w:rPr>
        <w:t xml:space="preserve">(DfE) </w:t>
      </w:r>
      <w:r w:rsidRPr="00D542E2">
        <w:rPr>
          <w:rFonts w:ascii="Verdana" w:hAnsi="Verdana"/>
        </w:rPr>
        <w:t>released new guidance in December 2015</w:t>
      </w:r>
      <w:r w:rsidR="00F77FDB">
        <w:rPr>
          <w:rFonts w:ascii="Verdana" w:hAnsi="Verdana"/>
        </w:rPr>
        <w:t xml:space="preserve"> (issue 8)</w:t>
      </w:r>
      <w:r w:rsidRPr="00D542E2">
        <w:rPr>
          <w:rFonts w:ascii="Verdana" w:hAnsi="Verdana"/>
        </w:rPr>
        <w:t xml:space="preserve">, outlining the provisions </w:t>
      </w:r>
      <w:r w:rsidR="00F77FDB">
        <w:rPr>
          <w:rFonts w:ascii="Verdana" w:hAnsi="Verdana"/>
        </w:rPr>
        <w:t>that</w:t>
      </w:r>
      <w:r w:rsidRPr="00D542E2">
        <w:rPr>
          <w:rFonts w:ascii="Verdana" w:hAnsi="Verdana"/>
        </w:rPr>
        <w:t xml:space="preserve"> a local authority's </w:t>
      </w:r>
      <w:r w:rsidR="00F86941" w:rsidRPr="00D542E2">
        <w:rPr>
          <w:rFonts w:ascii="Verdana" w:hAnsi="Verdana"/>
        </w:rPr>
        <w:t>policy</w:t>
      </w:r>
      <w:r w:rsidRPr="00D542E2">
        <w:rPr>
          <w:rFonts w:ascii="Verdana" w:hAnsi="Verdana"/>
        </w:rPr>
        <w:t xml:space="preserve"> must, should or may include</w:t>
      </w:r>
      <w:r w:rsidR="00F86941" w:rsidRPr="00D542E2">
        <w:rPr>
          <w:rFonts w:ascii="Verdana" w:hAnsi="Verdana"/>
        </w:rPr>
        <w:t>.</w:t>
      </w:r>
      <w:r w:rsidR="00D542E2">
        <w:rPr>
          <w:rFonts w:ascii="Verdana" w:hAnsi="Verdana"/>
        </w:rPr>
        <w:t xml:space="preserve"> </w:t>
      </w:r>
    </w:p>
    <w:p w14:paraId="52EA7C5E" w14:textId="73A8BFBE" w:rsidR="00360868" w:rsidRPr="00D542E2" w:rsidRDefault="00D542E2" w:rsidP="00072131">
      <w:pPr>
        <w:pStyle w:val="ListParagraph"/>
        <w:numPr>
          <w:ilvl w:val="1"/>
          <w:numId w:val="5"/>
        </w:numPr>
        <w:spacing w:line="360" w:lineRule="auto"/>
        <w:ind w:left="851" w:hanging="851"/>
        <w:jc w:val="both"/>
        <w:rPr>
          <w:rFonts w:ascii="Verdana" w:hAnsi="Verdana"/>
        </w:rPr>
      </w:pPr>
      <w:r>
        <w:rPr>
          <w:rFonts w:ascii="Verdana" w:hAnsi="Verdana"/>
        </w:rPr>
        <w:t>T</w:t>
      </w:r>
      <w:r w:rsidR="00360868" w:rsidRPr="00D542E2">
        <w:rPr>
          <w:rFonts w:ascii="Verdana" w:hAnsi="Verdana"/>
        </w:rPr>
        <w:t xml:space="preserve">he </w:t>
      </w:r>
      <w:r w:rsidR="009E55A8">
        <w:rPr>
          <w:rFonts w:ascii="Verdana" w:hAnsi="Verdana"/>
        </w:rPr>
        <w:t>updated</w:t>
      </w:r>
      <w:r w:rsidR="00360868" w:rsidRPr="00D542E2">
        <w:rPr>
          <w:rFonts w:ascii="Verdana" w:hAnsi="Verdana"/>
        </w:rPr>
        <w:t xml:space="preserve"> </w:t>
      </w:r>
      <w:r w:rsidR="00F86941" w:rsidRPr="00D542E2">
        <w:rPr>
          <w:rFonts w:ascii="Verdana" w:hAnsi="Verdana"/>
        </w:rPr>
        <w:t xml:space="preserve">policy </w:t>
      </w:r>
      <w:r w:rsidR="00C236BF">
        <w:rPr>
          <w:rFonts w:ascii="Verdana" w:hAnsi="Verdana"/>
        </w:rPr>
        <w:t>in Annex 1</w:t>
      </w:r>
      <w:r w:rsidR="00D2624C">
        <w:rPr>
          <w:rFonts w:ascii="Verdana" w:hAnsi="Verdana"/>
        </w:rPr>
        <w:t xml:space="preserve"> </w:t>
      </w:r>
      <w:r w:rsidR="00C236BF">
        <w:rPr>
          <w:rFonts w:ascii="Verdana" w:hAnsi="Verdana"/>
        </w:rPr>
        <w:t>of</w:t>
      </w:r>
      <w:r w:rsidR="00D2624C">
        <w:rPr>
          <w:rFonts w:ascii="Verdana" w:hAnsi="Verdana"/>
        </w:rPr>
        <w:t xml:space="preserve"> this report </w:t>
      </w:r>
      <w:r w:rsidR="00F77FDB">
        <w:rPr>
          <w:rFonts w:ascii="Verdana" w:hAnsi="Verdana"/>
        </w:rPr>
        <w:t xml:space="preserve">is compliant with </w:t>
      </w:r>
      <w:r w:rsidR="00F86941" w:rsidRPr="00D542E2">
        <w:rPr>
          <w:rFonts w:ascii="Verdana" w:hAnsi="Verdana"/>
        </w:rPr>
        <w:t xml:space="preserve">DfE guidance and the Authority’s financial regulations. </w:t>
      </w:r>
    </w:p>
    <w:p w14:paraId="7966F051" w14:textId="77777777" w:rsidR="007C0FD2" w:rsidRPr="00E446A8" w:rsidRDefault="007C0FD2" w:rsidP="00DD72CC">
      <w:pPr>
        <w:spacing w:line="360" w:lineRule="auto"/>
        <w:ind w:left="851" w:hanging="851"/>
        <w:jc w:val="both"/>
        <w:rPr>
          <w:rFonts w:ascii="Verdana" w:hAnsi="Verdana"/>
        </w:rPr>
      </w:pPr>
    </w:p>
    <w:p w14:paraId="7D1E42B1" w14:textId="119C27C0" w:rsidR="007C0FD2" w:rsidRPr="00E446A8" w:rsidRDefault="006B4C89" w:rsidP="00DD72CC">
      <w:pPr>
        <w:pStyle w:val="ListParagraph"/>
        <w:numPr>
          <w:ilvl w:val="0"/>
          <w:numId w:val="4"/>
        </w:numPr>
        <w:spacing w:line="360" w:lineRule="auto"/>
        <w:ind w:left="851" w:hanging="851"/>
        <w:jc w:val="both"/>
        <w:rPr>
          <w:rFonts w:ascii="Verdana" w:hAnsi="Verdana"/>
          <w:b/>
        </w:rPr>
      </w:pPr>
      <w:r>
        <w:rPr>
          <w:rFonts w:ascii="Verdana" w:hAnsi="Verdana"/>
          <w:b/>
        </w:rPr>
        <w:t>Highlight of key policy changes</w:t>
      </w:r>
    </w:p>
    <w:p w14:paraId="5A6F3330" w14:textId="6FC32587" w:rsidR="00901069" w:rsidRDefault="00901069" w:rsidP="00F77FDB">
      <w:pPr>
        <w:pStyle w:val="ListParagraph"/>
        <w:numPr>
          <w:ilvl w:val="1"/>
          <w:numId w:val="4"/>
        </w:numPr>
        <w:spacing w:line="360" w:lineRule="auto"/>
        <w:ind w:left="851" w:hanging="851"/>
        <w:jc w:val="both"/>
        <w:rPr>
          <w:rFonts w:ascii="Verdana" w:hAnsi="Verdana"/>
        </w:rPr>
      </w:pPr>
      <w:r>
        <w:rPr>
          <w:rFonts w:ascii="Verdana" w:hAnsi="Verdana"/>
        </w:rPr>
        <w:t xml:space="preserve">The Local Authority policy has been out of date for some time which has meant that elements of the policy were not consistent with </w:t>
      </w:r>
      <w:r w:rsidR="00FD11C3">
        <w:rPr>
          <w:rFonts w:ascii="Verdana" w:hAnsi="Verdana"/>
        </w:rPr>
        <w:t xml:space="preserve">the latest </w:t>
      </w:r>
      <w:r>
        <w:rPr>
          <w:rFonts w:ascii="Verdana" w:hAnsi="Verdana"/>
        </w:rPr>
        <w:t>DfE guidance. As a result, the policy has been largely rewritten</w:t>
      </w:r>
      <w:r w:rsidR="00FD11C3">
        <w:rPr>
          <w:rFonts w:ascii="Verdana" w:hAnsi="Verdana"/>
        </w:rPr>
        <w:t>.</w:t>
      </w:r>
    </w:p>
    <w:p w14:paraId="76F70B7B" w14:textId="762FEEF3" w:rsidR="001879B6" w:rsidRPr="00ED2F63" w:rsidRDefault="00901069" w:rsidP="00317BB5">
      <w:pPr>
        <w:pStyle w:val="ListParagraph"/>
        <w:numPr>
          <w:ilvl w:val="1"/>
          <w:numId w:val="4"/>
        </w:numPr>
        <w:spacing w:line="360" w:lineRule="auto"/>
        <w:ind w:left="851" w:hanging="851"/>
        <w:jc w:val="both"/>
        <w:rPr>
          <w:rFonts w:ascii="Verdana" w:hAnsi="Verdana"/>
        </w:rPr>
      </w:pPr>
      <w:r w:rsidRPr="00ED2F63">
        <w:rPr>
          <w:rFonts w:ascii="Verdana" w:hAnsi="Verdana"/>
        </w:rPr>
        <w:lastRenderedPageBreak/>
        <w:t>A number of changes have been made throughout the policy</w:t>
      </w:r>
      <w:r w:rsidR="00FD11C3" w:rsidRPr="00ED2F63">
        <w:rPr>
          <w:rFonts w:ascii="Verdana" w:hAnsi="Verdana"/>
        </w:rPr>
        <w:t>,</w:t>
      </w:r>
      <w:r w:rsidRPr="00ED2F63">
        <w:rPr>
          <w:rFonts w:ascii="Verdana" w:hAnsi="Verdana"/>
        </w:rPr>
        <w:t xml:space="preserve"> </w:t>
      </w:r>
      <w:r w:rsidR="00FD11C3" w:rsidRPr="00ED2F63">
        <w:rPr>
          <w:rFonts w:ascii="Verdana" w:hAnsi="Verdana"/>
        </w:rPr>
        <w:t>in comparison</w:t>
      </w:r>
      <w:r w:rsidRPr="00ED2F63">
        <w:rPr>
          <w:rFonts w:ascii="Verdana" w:hAnsi="Verdana"/>
        </w:rPr>
        <w:t xml:space="preserve"> to the existing version</w:t>
      </w:r>
      <w:r w:rsidR="00ED2F63" w:rsidRPr="00ED2F63">
        <w:rPr>
          <w:rFonts w:ascii="Verdana" w:hAnsi="Verdana"/>
        </w:rPr>
        <w:t>.</w:t>
      </w:r>
      <w:r w:rsidR="00ED2F63">
        <w:rPr>
          <w:rFonts w:ascii="Verdana" w:hAnsi="Verdana"/>
        </w:rPr>
        <w:t xml:space="preserve"> </w:t>
      </w:r>
      <w:r w:rsidRPr="00ED2F63">
        <w:rPr>
          <w:rFonts w:ascii="Verdana" w:hAnsi="Verdana"/>
        </w:rPr>
        <w:t xml:space="preserve">This report will only focus on the </w:t>
      </w:r>
      <w:r w:rsidR="00FD11C3" w:rsidRPr="00ED2F63">
        <w:rPr>
          <w:rFonts w:ascii="Verdana" w:hAnsi="Verdana"/>
        </w:rPr>
        <w:t xml:space="preserve">key </w:t>
      </w:r>
      <w:r w:rsidRPr="00ED2F63">
        <w:rPr>
          <w:rFonts w:ascii="Verdana" w:hAnsi="Verdana"/>
        </w:rPr>
        <w:t xml:space="preserve">changes which </w:t>
      </w:r>
      <w:r w:rsidR="00FD11C3" w:rsidRPr="00ED2F63">
        <w:rPr>
          <w:rFonts w:ascii="Verdana" w:hAnsi="Verdana"/>
        </w:rPr>
        <w:t>may</w:t>
      </w:r>
      <w:r w:rsidRPr="00ED2F63">
        <w:rPr>
          <w:rFonts w:ascii="Verdana" w:hAnsi="Verdana"/>
        </w:rPr>
        <w:t xml:space="preserve"> have a material impact on the financial relationship between the Authority and its maintained schools. </w:t>
      </w:r>
    </w:p>
    <w:p w14:paraId="05F91C2E" w14:textId="6700FA47" w:rsidR="00FD11C3" w:rsidRDefault="00FD11C3" w:rsidP="00FD11C3">
      <w:pPr>
        <w:spacing w:line="360" w:lineRule="auto"/>
        <w:jc w:val="both"/>
        <w:rPr>
          <w:rFonts w:ascii="Verdana" w:hAnsi="Verdana"/>
        </w:rPr>
      </w:pPr>
    </w:p>
    <w:tbl>
      <w:tblPr>
        <w:tblStyle w:val="TableGrid"/>
        <w:tblW w:w="0" w:type="auto"/>
        <w:tblLook w:val="04A0" w:firstRow="1" w:lastRow="0" w:firstColumn="1" w:lastColumn="0" w:noHBand="0" w:noVBand="1"/>
      </w:tblPr>
      <w:tblGrid>
        <w:gridCol w:w="2518"/>
        <w:gridCol w:w="6724"/>
      </w:tblGrid>
      <w:tr w:rsidR="00FD11C3" w:rsidRPr="00D2624C" w14:paraId="7EF8353B" w14:textId="77777777" w:rsidTr="00731D8C">
        <w:tc>
          <w:tcPr>
            <w:tcW w:w="2518" w:type="dxa"/>
            <w:shd w:val="clear" w:color="auto" w:fill="D9D9D9" w:themeFill="background1" w:themeFillShade="D9"/>
          </w:tcPr>
          <w:p w14:paraId="62CABA33" w14:textId="1BBF62E5" w:rsidR="00FD11C3" w:rsidRPr="00D2624C" w:rsidRDefault="00FD11C3" w:rsidP="00FD11C3">
            <w:pPr>
              <w:spacing w:line="360" w:lineRule="auto"/>
              <w:rPr>
                <w:rFonts w:ascii="Verdana" w:hAnsi="Verdana"/>
                <w:b/>
              </w:rPr>
            </w:pPr>
            <w:r w:rsidRPr="00D2624C">
              <w:rPr>
                <w:rFonts w:ascii="Verdana" w:hAnsi="Verdana"/>
                <w:b/>
              </w:rPr>
              <w:t>Provision in new Scheme</w:t>
            </w:r>
          </w:p>
        </w:tc>
        <w:tc>
          <w:tcPr>
            <w:tcW w:w="6724" w:type="dxa"/>
            <w:shd w:val="clear" w:color="auto" w:fill="D9D9D9" w:themeFill="background1" w:themeFillShade="D9"/>
          </w:tcPr>
          <w:p w14:paraId="165611DE" w14:textId="6E82B7B6" w:rsidR="00FD11C3" w:rsidRPr="00D2624C" w:rsidRDefault="00FD11C3" w:rsidP="009A0D2B">
            <w:pPr>
              <w:spacing w:line="360" w:lineRule="auto"/>
              <w:rPr>
                <w:rFonts w:ascii="Verdana" w:hAnsi="Verdana"/>
                <w:b/>
              </w:rPr>
            </w:pPr>
            <w:r w:rsidRPr="00D2624C">
              <w:rPr>
                <w:rFonts w:ascii="Verdana" w:hAnsi="Verdana"/>
                <w:b/>
              </w:rPr>
              <w:t>K</w:t>
            </w:r>
            <w:r w:rsidR="00D2624C" w:rsidRPr="00D2624C">
              <w:rPr>
                <w:rFonts w:ascii="Verdana" w:hAnsi="Verdana"/>
                <w:b/>
              </w:rPr>
              <w:t>ey  change from the February 2012</w:t>
            </w:r>
            <w:r w:rsidR="009A0D2B">
              <w:rPr>
                <w:rFonts w:ascii="Verdana" w:hAnsi="Verdana"/>
                <w:b/>
              </w:rPr>
              <w:t xml:space="preserve"> Scheme</w:t>
            </w:r>
          </w:p>
        </w:tc>
      </w:tr>
      <w:tr w:rsidR="00FD11C3" w14:paraId="0C8130B2" w14:textId="77777777" w:rsidTr="00731D8C">
        <w:tc>
          <w:tcPr>
            <w:tcW w:w="2518" w:type="dxa"/>
          </w:tcPr>
          <w:p w14:paraId="131F127F" w14:textId="7B997A53" w:rsidR="00FD11C3" w:rsidRPr="00AC3805" w:rsidRDefault="00D2624C" w:rsidP="00FD11C3">
            <w:pPr>
              <w:spacing w:line="360" w:lineRule="auto"/>
              <w:jc w:val="both"/>
              <w:rPr>
                <w:rFonts w:ascii="Verdana" w:hAnsi="Verdana"/>
                <w:b/>
              </w:rPr>
            </w:pPr>
            <w:r w:rsidRPr="00AC3805">
              <w:rPr>
                <w:rFonts w:ascii="Verdana" w:hAnsi="Verdana"/>
                <w:b/>
              </w:rPr>
              <w:t>2.1.2</w:t>
            </w:r>
          </w:p>
        </w:tc>
        <w:tc>
          <w:tcPr>
            <w:tcW w:w="6724" w:type="dxa"/>
          </w:tcPr>
          <w:p w14:paraId="7128F0E7" w14:textId="77777777" w:rsidR="00FD11C3" w:rsidRPr="00D2624C" w:rsidRDefault="00D2624C" w:rsidP="00FD11C3">
            <w:pPr>
              <w:spacing w:line="360" w:lineRule="auto"/>
              <w:jc w:val="both"/>
              <w:rPr>
                <w:rFonts w:ascii="Verdana" w:hAnsi="Verdana"/>
                <w:b/>
              </w:rPr>
            </w:pPr>
            <w:r w:rsidRPr="00D2624C">
              <w:rPr>
                <w:rFonts w:ascii="Verdana" w:hAnsi="Verdana"/>
                <w:b/>
              </w:rPr>
              <w:t>Provision of financial information and reports</w:t>
            </w:r>
          </w:p>
          <w:p w14:paraId="2A154191" w14:textId="7966B2CF" w:rsidR="00D2624C" w:rsidRDefault="00FA1EC4" w:rsidP="00FD11C3">
            <w:pPr>
              <w:spacing w:line="360" w:lineRule="auto"/>
              <w:jc w:val="both"/>
              <w:rPr>
                <w:rFonts w:ascii="Verdana" w:hAnsi="Verdana"/>
              </w:rPr>
            </w:pPr>
            <w:r>
              <w:rPr>
                <w:rFonts w:ascii="Verdana" w:hAnsi="Verdana"/>
              </w:rPr>
              <w:t>The provision has been updated</w:t>
            </w:r>
            <w:r w:rsidR="009E020D">
              <w:rPr>
                <w:rFonts w:ascii="Verdana" w:hAnsi="Verdana"/>
              </w:rPr>
              <w:t xml:space="preserve"> to reflect the required monthly, termly and year-end reporting requirements. </w:t>
            </w:r>
          </w:p>
        </w:tc>
      </w:tr>
      <w:tr w:rsidR="00942EA1" w14:paraId="171B09B6" w14:textId="77777777" w:rsidTr="00731D8C">
        <w:tc>
          <w:tcPr>
            <w:tcW w:w="2518" w:type="dxa"/>
          </w:tcPr>
          <w:p w14:paraId="0A4018B2" w14:textId="23C0F996" w:rsidR="00942EA1" w:rsidRPr="00AC3805" w:rsidRDefault="00942EA1" w:rsidP="00FD11C3">
            <w:pPr>
              <w:spacing w:line="360" w:lineRule="auto"/>
              <w:jc w:val="both"/>
              <w:rPr>
                <w:rFonts w:ascii="Verdana" w:hAnsi="Verdana"/>
                <w:b/>
              </w:rPr>
            </w:pPr>
            <w:r w:rsidRPr="00AC3805">
              <w:rPr>
                <w:rFonts w:ascii="Verdana" w:hAnsi="Verdana"/>
                <w:b/>
              </w:rPr>
              <w:t>2.1.4</w:t>
            </w:r>
          </w:p>
        </w:tc>
        <w:tc>
          <w:tcPr>
            <w:tcW w:w="6724" w:type="dxa"/>
          </w:tcPr>
          <w:p w14:paraId="5B6B2305" w14:textId="77777777" w:rsidR="00942EA1" w:rsidRDefault="00942EA1" w:rsidP="00FD11C3">
            <w:pPr>
              <w:spacing w:line="360" w:lineRule="auto"/>
              <w:jc w:val="both"/>
              <w:rPr>
                <w:rFonts w:ascii="Verdana" w:hAnsi="Verdana"/>
                <w:b/>
              </w:rPr>
            </w:pPr>
            <w:r>
              <w:rPr>
                <w:rFonts w:ascii="Verdana" w:hAnsi="Verdana"/>
                <w:b/>
              </w:rPr>
              <w:t>Control of assets</w:t>
            </w:r>
          </w:p>
          <w:p w14:paraId="120BFA59" w14:textId="77777777" w:rsidR="001861EC" w:rsidRDefault="00942EA1" w:rsidP="001861EC">
            <w:pPr>
              <w:spacing w:line="360" w:lineRule="auto"/>
              <w:jc w:val="both"/>
              <w:rPr>
                <w:rFonts w:ascii="Verdana" w:hAnsi="Verdana"/>
              </w:rPr>
            </w:pPr>
            <w:r>
              <w:rPr>
                <w:rFonts w:ascii="Verdana" w:hAnsi="Verdana"/>
              </w:rPr>
              <w:t xml:space="preserve">The provision has been updated to provide clarity on the types </w:t>
            </w:r>
            <w:r w:rsidR="001861EC">
              <w:rPr>
                <w:rFonts w:ascii="Verdana" w:hAnsi="Verdana"/>
              </w:rPr>
              <w:t xml:space="preserve">of assets that must be recorded. </w:t>
            </w:r>
          </w:p>
          <w:p w14:paraId="5B57D592" w14:textId="77777777" w:rsidR="001861EC" w:rsidRDefault="001861EC" w:rsidP="001861EC">
            <w:pPr>
              <w:spacing w:line="360" w:lineRule="auto"/>
              <w:jc w:val="both"/>
              <w:rPr>
                <w:rFonts w:ascii="Verdana" w:hAnsi="Verdana"/>
              </w:rPr>
            </w:pPr>
          </w:p>
          <w:p w14:paraId="58001B10" w14:textId="424139EB" w:rsidR="00942EA1" w:rsidRPr="00942EA1" w:rsidRDefault="001861EC" w:rsidP="001861EC">
            <w:pPr>
              <w:spacing w:line="360" w:lineRule="auto"/>
              <w:jc w:val="both"/>
              <w:rPr>
                <w:rFonts w:ascii="Verdana" w:hAnsi="Verdana"/>
              </w:rPr>
            </w:pPr>
            <w:r>
              <w:rPr>
                <w:rFonts w:ascii="Verdana" w:hAnsi="Verdana"/>
              </w:rPr>
              <w:t>T</w:t>
            </w:r>
            <w:r w:rsidR="00942EA1">
              <w:rPr>
                <w:rFonts w:ascii="Verdana" w:hAnsi="Verdana"/>
              </w:rPr>
              <w:t xml:space="preserve">he de minimus </w:t>
            </w:r>
            <w:r>
              <w:rPr>
                <w:rFonts w:ascii="Verdana" w:hAnsi="Verdana"/>
              </w:rPr>
              <w:t xml:space="preserve">for recording assets </w:t>
            </w:r>
            <w:r w:rsidR="00942EA1">
              <w:rPr>
                <w:rFonts w:ascii="Verdana" w:hAnsi="Verdana"/>
              </w:rPr>
              <w:t>has been revised up to £10,000.</w:t>
            </w:r>
          </w:p>
        </w:tc>
      </w:tr>
      <w:tr w:rsidR="00C16E77" w14:paraId="72635FC4" w14:textId="77777777" w:rsidTr="00731D8C">
        <w:tc>
          <w:tcPr>
            <w:tcW w:w="2518" w:type="dxa"/>
          </w:tcPr>
          <w:p w14:paraId="18AE9A56" w14:textId="3C0D46DB" w:rsidR="00C16E77" w:rsidRPr="00AC3805" w:rsidRDefault="00FA6FDB" w:rsidP="00FD11C3">
            <w:pPr>
              <w:spacing w:line="360" w:lineRule="auto"/>
              <w:jc w:val="both"/>
              <w:rPr>
                <w:rFonts w:ascii="Verdana" w:hAnsi="Verdana"/>
                <w:b/>
              </w:rPr>
            </w:pPr>
            <w:r w:rsidRPr="00AC3805">
              <w:rPr>
                <w:rFonts w:ascii="Verdana" w:hAnsi="Verdana"/>
                <w:b/>
              </w:rPr>
              <w:t>2.16</w:t>
            </w:r>
          </w:p>
        </w:tc>
        <w:tc>
          <w:tcPr>
            <w:tcW w:w="6724" w:type="dxa"/>
          </w:tcPr>
          <w:p w14:paraId="4D9AC37D" w14:textId="77777777" w:rsidR="00C16E77" w:rsidRDefault="00FA6FDB" w:rsidP="00FD11C3">
            <w:pPr>
              <w:spacing w:line="360" w:lineRule="auto"/>
              <w:jc w:val="both"/>
              <w:rPr>
                <w:rFonts w:ascii="Verdana" w:hAnsi="Verdana"/>
                <w:b/>
              </w:rPr>
            </w:pPr>
            <w:r>
              <w:rPr>
                <w:rFonts w:ascii="Verdana" w:hAnsi="Verdana"/>
                <w:b/>
              </w:rPr>
              <w:t>Schools Financial Value Standard (SFVS)</w:t>
            </w:r>
          </w:p>
          <w:p w14:paraId="7D63A2A4" w14:textId="722893EC" w:rsidR="00FA6FDB" w:rsidRPr="00FA6FDB" w:rsidRDefault="00FA6FDB" w:rsidP="00410BF5">
            <w:pPr>
              <w:spacing w:line="360" w:lineRule="auto"/>
              <w:jc w:val="both"/>
              <w:rPr>
                <w:rFonts w:ascii="Verdana" w:hAnsi="Verdana"/>
              </w:rPr>
            </w:pPr>
            <w:r>
              <w:rPr>
                <w:rFonts w:ascii="Verdana" w:hAnsi="Verdana"/>
              </w:rPr>
              <w:t xml:space="preserve">A new provision has been </w:t>
            </w:r>
            <w:r w:rsidR="00410BF5">
              <w:rPr>
                <w:rFonts w:ascii="Verdana" w:hAnsi="Verdana"/>
              </w:rPr>
              <w:t>implemented</w:t>
            </w:r>
            <w:r>
              <w:rPr>
                <w:rFonts w:ascii="Verdana" w:hAnsi="Verdana"/>
              </w:rPr>
              <w:t xml:space="preserve"> to set out </w:t>
            </w:r>
            <w:r w:rsidR="00410BF5">
              <w:rPr>
                <w:rFonts w:ascii="Verdana" w:hAnsi="Verdana"/>
              </w:rPr>
              <w:t>responsibilities for completing the SFVS.</w:t>
            </w:r>
          </w:p>
        </w:tc>
      </w:tr>
      <w:tr w:rsidR="00C16E77" w14:paraId="0E28D086" w14:textId="77777777" w:rsidTr="00731D8C">
        <w:tc>
          <w:tcPr>
            <w:tcW w:w="2518" w:type="dxa"/>
          </w:tcPr>
          <w:p w14:paraId="53FF5B52" w14:textId="3DA98C3C" w:rsidR="00C16E77" w:rsidRPr="00AC3805" w:rsidRDefault="00410BF5" w:rsidP="00FD11C3">
            <w:pPr>
              <w:spacing w:line="360" w:lineRule="auto"/>
              <w:jc w:val="both"/>
              <w:rPr>
                <w:rFonts w:ascii="Verdana" w:hAnsi="Verdana"/>
                <w:b/>
              </w:rPr>
            </w:pPr>
            <w:r w:rsidRPr="00AC3805">
              <w:rPr>
                <w:rFonts w:ascii="Verdana" w:hAnsi="Verdana"/>
                <w:b/>
              </w:rPr>
              <w:t>2.1.7</w:t>
            </w:r>
          </w:p>
        </w:tc>
        <w:tc>
          <w:tcPr>
            <w:tcW w:w="6724" w:type="dxa"/>
          </w:tcPr>
          <w:p w14:paraId="64717FFD" w14:textId="77777777" w:rsidR="00C16E77" w:rsidRDefault="00410BF5" w:rsidP="00FD11C3">
            <w:pPr>
              <w:spacing w:line="360" w:lineRule="auto"/>
              <w:jc w:val="both"/>
              <w:rPr>
                <w:rFonts w:ascii="Verdana" w:hAnsi="Verdana"/>
                <w:b/>
              </w:rPr>
            </w:pPr>
            <w:r>
              <w:rPr>
                <w:rFonts w:ascii="Verdana" w:hAnsi="Verdana"/>
                <w:b/>
              </w:rPr>
              <w:t>Fraud</w:t>
            </w:r>
          </w:p>
          <w:p w14:paraId="065F3960" w14:textId="02F4149B" w:rsidR="00410BF5" w:rsidRPr="00410BF5" w:rsidRDefault="00410BF5" w:rsidP="00410BF5">
            <w:pPr>
              <w:spacing w:line="360" w:lineRule="auto"/>
              <w:jc w:val="both"/>
              <w:rPr>
                <w:rFonts w:ascii="Verdana" w:hAnsi="Verdana"/>
              </w:rPr>
            </w:pPr>
            <w:r>
              <w:rPr>
                <w:rFonts w:ascii="Verdana" w:hAnsi="Verdana"/>
              </w:rPr>
              <w:t xml:space="preserve">A new provision has been implemented to set out responsibilities for ensuring that there is sufficient fraud control within the school. </w:t>
            </w:r>
          </w:p>
        </w:tc>
      </w:tr>
      <w:tr w:rsidR="00C16E77" w14:paraId="58421013" w14:textId="77777777" w:rsidTr="00731D8C">
        <w:tc>
          <w:tcPr>
            <w:tcW w:w="2518" w:type="dxa"/>
          </w:tcPr>
          <w:p w14:paraId="2229FBC5" w14:textId="5370174C" w:rsidR="00C16E77" w:rsidRPr="00AC3805" w:rsidRDefault="00714A91" w:rsidP="00FD11C3">
            <w:pPr>
              <w:spacing w:line="360" w:lineRule="auto"/>
              <w:jc w:val="both"/>
              <w:rPr>
                <w:rFonts w:ascii="Verdana" w:hAnsi="Verdana"/>
                <w:b/>
              </w:rPr>
            </w:pPr>
            <w:r w:rsidRPr="00AC3805">
              <w:rPr>
                <w:rFonts w:ascii="Verdana" w:hAnsi="Verdana"/>
                <w:b/>
              </w:rPr>
              <w:t>3.5.1</w:t>
            </w:r>
          </w:p>
        </w:tc>
        <w:tc>
          <w:tcPr>
            <w:tcW w:w="6724" w:type="dxa"/>
          </w:tcPr>
          <w:p w14:paraId="175671F2" w14:textId="6AE304D9" w:rsidR="00C16E77" w:rsidRDefault="00714A91" w:rsidP="00FD11C3">
            <w:pPr>
              <w:spacing w:line="360" w:lineRule="auto"/>
              <w:jc w:val="both"/>
              <w:rPr>
                <w:rFonts w:ascii="Verdana" w:hAnsi="Verdana"/>
                <w:b/>
              </w:rPr>
            </w:pPr>
            <w:r>
              <w:rPr>
                <w:rFonts w:ascii="Verdana" w:hAnsi="Verdana"/>
                <w:b/>
              </w:rPr>
              <w:t>Restrictions on accounts</w:t>
            </w:r>
          </w:p>
          <w:p w14:paraId="18FCCE19" w14:textId="77777777" w:rsidR="00714A91" w:rsidRDefault="00714A91" w:rsidP="00937EB4">
            <w:pPr>
              <w:spacing w:line="360" w:lineRule="auto"/>
              <w:jc w:val="both"/>
              <w:rPr>
                <w:rFonts w:ascii="Verdana" w:hAnsi="Verdana"/>
              </w:rPr>
            </w:pPr>
            <w:r>
              <w:rPr>
                <w:rFonts w:ascii="Verdana" w:hAnsi="Verdana"/>
              </w:rPr>
              <w:t xml:space="preserve">The </w:t>
            </w:r>
            <w:r w:rsidR="00937EB4">
              <w:rPr>
                <w:rFonts w:ascii="Verdana" w:hAnsi="Verdana"/>
              </w:rPr>
              <w:t xml:space="preserve">list of </w:t>
            </w:r>
            <w:r>
              <w:rPr>
                <w:rFonts w:ascii="Verdana" w:hAnsi="Verdana"/>
              </w:rPr>
              <w:t>banks that can be used for the payment of budget share instalments</w:t>
            </w:r>
            <w:r w:rsidR="00937EB4">
              <w:rPr>
                <w:rFonts w:ascii="Verdana" w:hAnsi="Verdana"/>
              </w:rPr>
              <w:t xml:space="preserve"> has been revised</w:t>
            </w:r>
            <w:r w:rsidR="00CF71B0">
              <w:rPr>
                <w:rFonts w:ascii="Verdana" w:hAnsi="Verdana"/>
              </w:rPr>
              <w:t xml:space="preserve"> to include: </w:t>
            </w:r>
          </w:p>
          <w:p w14:paraId="41B1167D" w14:textId="77777777" w:rsidR="00CF71B0" w:rsidRDefault="00CF71B0" w:rsidP="00CF71B0">
            <w:pPr>
              <w:pStyle w:val="ListParagraph"/>
              <w:numPr>
                <w:ilvl w:val="0"/>
                <w:numId w:val="19"/>
              </w:numPr>
              <w:spacing w:line="360" w:lineRule="auto"/>
              <w:jc w:val="both"/>
              <w:rPr>
                <w:rFonts w:ascii="Verdana" w:hAnsi="Verdana"/>
              </w:rPr>
            </w:pPr>
            <w:r>
              <w:rPr>
                <w:rFonts w:ascii="Verdana" w:hAnsi="Verdana"/>
              </w:rPr>
              <w:t>Halifax Bank of Scotland PLC</w:t>
            </w:r>
          </w:p>
          <w:p w14:paraId="24EDC8EE" w14:textId="77777777" w:rsidR="00CF71B0" w:rsidRDefault="00CF71B0" w:rsidP="00CF71B0">
            <w:pPr>
              <w:pStyle w:val="ListParagraph"/>
              <w:numPr>
                <w:ilvl w:val="0"/>
                <w:numId w:val="19"/>
              </w:numPr>
              <w:spacing w:line="360" w:lineRule="auto"/>
              <w:jc w:val="both"/>
              <w:rPr>
                <w:rFonts w:ascii="Verdana" w:hAnsi="Verdana"/>
              </w:rPr>
            </w:pPr>
            <w:r>
              <w:rPr>
                <w:rFonts w:ascii="Verdana" w:hAnsi="Verdana"/>
              </w:rPr>
              <w:t>Barclays Bank PLC</w:t>
            </w:r>
          </w:p>
          <w:p w14:paraId="6485D96A" w14:textId="77777777" w:rsidR="00CF71B0" w:rsidRDefault="00CF71B0" w:rsidP="00CF71B0">
            <w:pPr>
              <w:pStyle w:val="ListParagraph"/>
              <w:numPr>
                <w:ilvl w:val="0"/>
                <w:numId w:val="19"/>
              </w:numPr>
              <w:spacing w:line="360" w:lineRule="auto"/>
              <w:jc w:val="both"/>
              <w:rPr>
                <w:rFonts w:ascii="Verdana" w:hAnsi="Verdana"/>
              </w:rPr>
            </w:pPr>
            <w:r>
              <w:rPr>
                <w:rFonts w:ascii="Verdana" w:hAnsi="Verdana"/>
              </w:rPr>
              <w:t>Lloyds TSB PLC</w:t>
            </w:r>
          </w:p>
          <w:p w14:paraId="3FAC839E" w14:textId="2FE74ECD" w:rsidR="00CF71B0" w:rsidRPr="00CF71B0" w:rsidRDefault="00CF71B0" w:rsidP="00CF71B0">
            <w:pPr>
              <w:pStyle w:val="ListParagraph"/>
              <w:numPr>
                <w:ilvl w:val="0"/>
                <w:numId w:val="19"/>
              </w:numPr>
              <w:spacing w:line="360" w:lineRule="auto"/>
              <w:jc w:val="both"/>
              <w:rPr>
                <w:rFonts w:ascii="Verdana" w:hAnsi="Verdana"/>
              </w:rPr>
            </w:pPr>
            <w:r>
              <w:rPr>
                <w:rFonts w:ascii="Verdana" w:hAnsi="Verdana"/>
              </w:rPr>
              <w:lastRenderedPageBreak/>
              <w:t>National Westminster Bank PLC</w:t>
            </w:r>
          </w:p>
        </w:tc>
      </w:tr>
      <w:tr w:rsidR="00C16E77" w14:paraId="6D892ED3" w14:textId="77777777" w:rsidTr="00731D8C">
        <w:tc>
          <w:tcPr>
            <w:tcW w:w="2518" w:type="dxa"/>
          </w:tcPr>
          <w:p w14:paraId="109FA98A" w14:textId="688ED464" w:rsidR="00C16E77" w:rsidRPr="00AC3805" w:rsidRDefault="00031E4D" w:rsidP="00FD11C3">
            <w:pPr>
              <w:spacing w:line="360" w:lineRule="auto"/>
              <w:jc w:val="both"/>
              <w:rPr>
                <w:rFonts w:ascii="Verdana" w:hAnsi="Verdana"/>
                <w:b/>
              </w:rPr>
            </w:pPr>
            <w:r w:rsidRPr="00AC3805">
              <w:rPr>
                <w:rFonts w:ascii="Verdana" w:hAnsi="Verdana"/>
                <w:b/>
              </w:rPr>
              <w:lastRenderedPageBreak/>
              <w:t>4.3 &amp; 4.6</w:t>
            </w:r>
          </w:p>
        </w:tc>
        <w:tc>
          <w:tcPr>
            <w:tcW w:w="6724" w:type="dxa"/>
          </w:tcPr>
          <w:p w14:paraId="467EDD4D" w14:textId="77777777" w:rsidR="00C16E77" w:rsidRDefault="00031E4D" w:rsidP="00FD11C3">
            <w:pPr>
              <w:spacing w:line="360" w:lineRule="auto"/>
              <w:jc w:val="both"/>
              <w:rPr>
                <w:rFonts w:ascii="Verdana" w:hAnsi="Verdana"/>
                <w:b/>
              </w:rPr>
            </w:pPr>
            <w:r>
              <w:rPr>
                <w:rFonts w:ascii="Verdana" w:hAnsi="Verdana"/>
                <w:b/>
              </w:rPr>
              <w:t>Interest on surplus balances and Charging of interest on deficit budgets</w:t>
            </w:r>
          </w:p>
          <w:p w14:paraId="5837BE37" w14:textId="054BA32F" w:rsidR="00733E6B" w:rsidRPr="00733E6B" w:rsidRDefault="00733E6B" w:rsidP="00733E6B">
            <w:pPr>
              <w:spacing w:line="360" w:lineRule="auto"/>
              <w:jc w:val="both"/>
              <w:rPr>
                <w:rFonts w:ascii="Verdana" w:hAnsi="Verdana"/>
              </w:rPr>
            </w:pPr>
            <w:r>
              <w:rPr>
                <w:rFonts w:ascii="Verdana" w:hAnsi="Verdana"/>
              </w:rPr>
              <w:t xml:space="preserve">The provision has been updated to show a reciprocal arrangement where balances held on behalf of schools will attract interest and in addition the Authority reserves the right to charge interest on deficit balances. </w:t>
            </w:r>
          </w:p>
        </w:tc>
      </w:tr>
      <w:tr w:rsidR="00C16E77" w14:paraId="75D1E792" w14:textId="77777777" w:rsidTr="00731D8C">
        <w:tc>
          <w:tcPr>
            <w:tcW w:w="2518" w:type="dxa"/>
          </w:tcPr>
          <w:p w14:paraId="4C277E34" w14:textId="73C7A411" w:rsidR="00C16E77" w:rsidRPr="00AC3805" w:rsidRDefault="009F471A" w:rsidP="00FD11C3">
            <w:pPr>
              <w:spacing w:line="360" w:lineRule="auto"/>
              <w:jc w:val="both"/>
              <w:rPr>
                <w:rFonts w:ascii="Verdana" w:hAnsi="Verdana"/>
                <w:b/>
              </w:rPr>
            </w:pPr>
            <w:r w:rsidRPr="00AC3805">
              <w:rPr>
                <w:rFonts w:ascii="Verdana" w:hAnsi="Verdana"/>
                <w:b/>
              </w:rPr>
              <w:t>6.2</w:t>
            </w:r>
            <w:r w:rsidR="00E87C9D" w:rsidRPr="00AC3805">
              <w:rPr>
                <w:rFonts w:ascii="Verdana" w:hAnsi="Verdana"/>
                <w:b/>
              </w:rPr>
              <w:t xml:space="preserve"> </w:t>
            </w:r>
          </w:p>
        </w:tc>
        <w:tc>
          <w:tcPr>
            <w:tcW w:w="6724" w:type="dxa"/>
          </w:tcPr>
          <w:p w14:paraId="5D93719E" w14:textId="6F53BD84" w:rsidR="00C16E77" w:rsidRDefault="009F471A" w:rsidP="00FD11C3">
            <w:pPr>
              <w:spacing w:line="360" w:lineRule="auto"/>
              <w:jc w:val="both"/>
              <w:rPr>
                <w:rFonts w:ascii="Verdana" w:hAnsi="Verdana"/>
                <w:b/>
              </w:rPr>
            </w:pPr>
            <w:r>
              <w:rPr>
                <w:rFonts w:ascii="Verdana" w:hAnsi="Verdana"/>
                <w:b/>
              </w:rPr>
              <w:t>Circumstances in which a charge may be made</w:t>
            </w:r>
          </w:p>
          <w:p w14:paraId="222162A4" w14:textId="6435B31B" w:rsidR="00E87C9D" w:rsidRPr="00E87C9D" w:rsidRDefault="00345D2B" w:rsidP="00FD11C3">
            <w:pPr>
              <w:spacing w:line="360" w:lineRule="auto"/>
              <w:jc w:val="both"/>
              <w:rPr>
                <w:rFonts w:ascii="Verdana" w:hAnsi="Verdana"/>
              </w:rPr>
            </w:pPr>
            <w:r>
              <w:rPr>
                <w:rFonts w:ascii="Verdana" w:hAnsi="Verdana"/>
              </w:rPr>
              <w:t xml:space="preserve">The circumstances in which a charge can be made by the Authority to the school’s budget share has been updated in line with the latest DfE guidance. </w:t>
            </w:r>
          </w:p>
        </w:tc>
      </w:tr>
      <w:tr w:rsidR="00E9544E" w14:paraId="20E1E1E4" w14:textId="77777777" w:rsidTr="00731D8C">
        <w:tc>
          <w:tcPr>
            <w:tcW w:w="2518" w:type="dxa"/>
          </w:tcPr>
          <w:p w14:paraId="7B084252" w14:textId="05F08279" w:rsidR="00E9544E" w:rsidRPr="00AC3805" w:rsidRDefault="00735B9E" w:rsidP="00FD11C3">
            <w:pPr>
              <w:spacing w:line="360" w:lineRule="auto"/>
              <w:jc w:val="both"/>
              <w:rPr>
                <w:rFonts w:ascii="Verdana" w:hAnsi="Verdana"/>
                <w:b/>
              </w:rPr>
            </w:pPr>
            <w:r w:rsidRPr="00AC3805">
              <w:rPr>
                <w:rFonts w:ascii="Verdana" w:hAnsi="Verdana"/>
                <w:b/>
              </w:rPr>
              <w:t>13</w:t>
            </w:r>
          </w:p>
        </w:tc>
        <w:tc>
          <w:tcPr>
            <w:tcW w:w="6724" w:type="dxa"/>
          </w:tcPr>
          <w:p w14:paraId="3C426518" w14:textId="77777777" w:rsidR="00735B9E" w:rsidRDefault="00735B9E" w:rsidP="00FD11C3">
            <w:pPr>
              <w:spacing w:line="360" w:lineRule="auto"/>
              <w:jc w:val="both"/>
              <w:rPr>
                <w:rFonts w:ascii="Verdana" w:hAnsi="Verdana"/>
                <w:b/>
              </w:rPr>
            </w:pPr>
            <w:r>
              <w:rPr>
                <w:rFonts w:ascii="Verdana" w:hAnsi="Verdana"/>
                <w:b/>
              </w:rPr>
              <w:t>Community facilities</w:t>
            </w:r>
          </w:p>
          <w:p w14:paraId="7894C782" w14:textId="0036BE17" w:rsidR="00E9544E" w:rsidRDefault="00735B9E" w:rsidP="00FD11C3">
            <w:pPr>
              <w:spacing w:line="360" w:lineRule="auto"/>
              <w:jc w:val="both"/>
              <w:rPr>
                <w:rFonts w:ascii="Verdana" w:hAnsi="Verdana"/>
                <w:b/>
              </w:rPr>
            </w:pPr>
            <w:r>
              <w:rPr>
                <w:rFonts w:ascii="Verdana" w:hAnsi="Verdana"/>
                <w:b/>
              </w:rPr>
              <w:t>13.2 C</w:t>
            </w:r>
            <w:r w:rsidR="002B303D">
              <w:rPr>
                <w:rFonts w:ascii="Verdana" w:hAnsi="Verdana"/>
                <w:b/>
              </w:rPr>
              <w:t>onsultation with the Local Authority</w:t>
            </w:r>
          </w:p>
          <w:p w14:paraId="3F82FE6B" w14:textId="77777777" w:rsidR="002B303D" w:rsidRDefault="002B303D" w:rsidP="00FD11C3">
            <w:pPr>
              <w:spacing w:line="360" w:lineRule="auto"/>
              <w:jc w:val="both"/>
              <w:rPr>
                <w:rFonts w:ascii="Verdana" w:hAnsi="Verdana"/>
              </w:rPr>
            </w:pPr>
            <w:r>
              <w:rPr>
                <w:rFonts w:ascii="Verdana" w:hAnsi="Verdana"/>
              </w:rPr>
              <w:t xml:space="preserve">More detailed provisions have been included to outline the consultation requirements for schools expressing an interest in providing community facilities. </w:t>
            </w:r>
          </w:p>
          <w:p w14:paraId="58C9818F" w14:textId="77777777" w:rsidR="00735B9E" w:rsidRDefault="00735B9E" w:rsidP="00FD11C3">
            <w:pPr>
              <w:spacing w:line="360" w:lineRule="auto"/>
              <w:jc w:val="both"/>
              <w:rPr>
                <w:rFonts w:ascii="Verdana" w:hAnsi="Verdana"/>
              </w:rPr>
            </w:pPr>
          </w:p>
          <w:p w14:paraId="27AED4CD" w14:textId="77777777" w:rsidR="00735B9E" w:rsidRPr="00C07095" w:rsidRDefault="00735B9E" w:rsidP="00FD11C3">
            <w:pPr>
              <w:spacing w:line="360" w:lineRule="auto"/>
              <w:jc w:val="both"/>
              <w:rPr>
                <w:rFonts w:ascii="Verdana" w:hAnsi="Verdana"/>
                <w:b/>
              </w:rPr>
            </w:pPr>
            <w:r w:rsidRPr="00C07095">
              <w:rPr>
                <w:rFonts w:ascii="Verdana" w:hAnsi="Verdana"/>
                <w:b/>
              </w:rPr>
              <w:t>13.3 Funding agreements – Authority powers</w:t>
            </w:r>
          </w:p>
          <w:p w14:paraId="6E8FC5C6" w14:textId="77777777" w:rsidR="007F7275" w:rsidRDefault="007F7275" w:rsidP="00FD11C3">
            <w:pPr>
              <w:spacing w:line="360" w:lineRule="auto"/>
              <w:jc w:val="both"/>
              <w:rPr>
                <w:rFonts w:ascii="Verdana" w:hAnsi="Verdana"/>
              </w:rPr>
            </w:pPr>
            <w:r>
              <w:rPr>
                <w:rFonts w:ascii="Verdana" w:hAnsi="Verdana"/>
              </w:rPr>
              <w:t xml:space="preserve">New provisions have been included to set the authority’s powers where schools choose to involve a third party in the running of community facilities. </w:t>
            </w:r>
          </w:p>
          <w:p w14:paraId="7B2E11A3" w14:textId="77777777" w:rsidR="00C07095" w:rsidRDefault="00C07095" w:rsidP="00FD11C3">
            <w:pPr>
              <w:spacing w:line="360" w:lineRule="auto"/>
              <w:jc w:val="both"/>
              <w:rPr>
                <w:rFonts w:ascii="Verdana" w:hAnsi="Verdana"/>
              </w:rPr>
            </w:pPr>
          </w:p>
          <w:p w14:paraId="603BFAAC" w14:textId="77777777" w:rsidR="00C07095" w:rsidRPr="00C32B9E" w:rsidRDefault="00C07095" w:rsidP="00FD11C3">
            <w:pPr>
              <w:spacing w:line="360" w:lineRule="auto"/>
              <w:jc w:val="both"/>
              <w:rPr>
                <w:rFonts w:ascii="Verdana" w:hAnsi="Verdana"/>
                <w:b/>
              </w:rPr>
            </w:pPr>
            <w:r w:rsidRPr="00C32B9E">
              <w:rPr>
                <w:rFonts w:ascii="Verdana" w:hAnsi="Verdana"/>
                <w:b/>
              </w:rPr>
              <w:t>13.4 Other prohibitions, restrictions and limitations</w:t>
            </w:r>
          </w:p>
          <w:p w14:paraId="16D5BB04" w14:textId="77777777" w:rsidR="00C07095" w:rsidRDefault="00C32B9E" w:rsidP="00FD11C3">
            <w:pPr>
              <w:spacing w:line="360" w:lineRule="auto"/>
              <w:jc w:val="both"/>
              <w:rPr>
                <w:rFonts w:ascii="Verdana" w:hAnsi="Verdana"/>
              </w:rPr>
            </w:pPr>
            <w:r>
              <w:rPr>
                <w:rFonts w:ascii="Verdana" w:hAnsi="Verdana"/>
              </w:rPr>
              <w:t xml:space="preserve">New provisions have been drafted to set out restrictions to protect the financial interests of the Authority. </w:t>
            </w:r>
          </w:p>
          <w:p w14:paraId="40D8E034" w14:textId="77777777" w:rsidR="00C32B9E" w:rsidRDefault="00C32B9E" w:rsidP="00C32B9E">
            <w:pPr>
              <w:spacing w:line="360" w:lineRule="auto"/>
              <w:jc w:val="both"/>
              <w:rPr>
                <w:rFonts w:ascii="Verdana" w:hAnsi="Verdana"/>
              </w:rPr>
            </w:pPr>
          </w:p>
          <w:p w14:paraId="6A1D6D60" w14:textId="30BC3F65" w:rsidR="00C32B9E" w:rsidRPr="00C32B9E" w:rsidRDefault="00C32B9E" w:rsidP="00C32B9E">
            <w:pPr>
              <w:spacing w:line="360" w:lineRule="auto"/>
              <w:jc w:val="both"/>
              <w:rPr>
                <w:rFonts w:ascii="Verdana" w:hAnsi="Verdana"/>
                <w:b/>
              </w:rPr>
            </w:pPr>
            <w:r w:rsidRPr="00C32B9E">
              <w:rPr>
                <w:rFonts w:ascii="Verdana" w:hAnsi="Verdana"/>
                <w:b/>
              </w:rPr>
              <w:t>13.5 Supply of financial information</w:t>
            </w:r>
          </w:p>
          <w:p w14:paraId="06E52C51" w14:textId="7ED02F11" w:rsidR="00C32B9E" w:rsidRPr="002B303D" w:rsidRDefault="00C32B9E" w:rsidP="00C32B9E">
            <w:pPr>
              <w:spacing w:line="360" w:lineRule="auto"/>
              <w:jc w:val="both"/>
              <w:rPr>
                <w:rFonts w:ascii="Verdana" w:hAnsi="Verdana"/>
              </w:rPr>
            </w:pPr>
            <w:r>
              <w:rPr>
                <w:rFonts w:ascii="Verdana" w:hAnsi="Verdana"/>
              </w:rPr>
              <w:lastRenderedPageBreak/>
              <w:t xml:space="preserve">New provisions have been drafted to set out the financial reporting schools with community facilities must provide the Authority. </w:t>
            </w:r>
          </w:p>
        </w:tc>
      </w:tr>
      <w:tr w:rsidR="00735B9E" w14:paraId="0446E829" w14:textId="77777777" w:rsidTr="00731D8C">
        <w:tc>
          <w:tcPr>
            <w:tcW w:w="2518" w:type="dxa"/>
          </w:tcPr>
          <w:p w14:paraId="6174F638" w14:textId="406E946B" w:rsidR="00735B9E" w:rsidRPr="00D038AD" w:rsidRDefault="00D038AD" w:rsidP="00FD11C3">
            <w:pPr>
              <w:spacing w:line="360" w:lineRule="auto"/>
              <w:jc w:val="both"/>
              <w:rPr>
                <w:rFonts w:ascii="Verdana" w:hAnsi="Verdana"/>
                <w:b/>
              </w:rPr>
            </w:pPr>
            <w:r>
              <w:rPr>
                <w:rFonts w:ascii="Verdana" w:hAnsi="Verdana"/>
                <w:b/>
              </w:rPr>
              <w:lastRenderedPageBreak/>
              <w:t>Annex B</w:t>
            </w:r>
          </w:p>
        </w:tc>
        <w:tc>
          <w:tcPr>
            <w:tcW w:w="6724" w:type="dxa"/>
          </w:tcPr>
          <w:p w14:paraId="7136BAC9" w14:textId="77777777" w:rsidR="00735B9E" w:rsidRDefault="00D775F4" w:rsidP="00FD11C3">
            <w:pPr>
              <w:spacing w:line="360" w:lineRule="auto"/>
              <w:jc w:val="both"/>
              <w:rPr>
                <w:rFonts w:ascii="Verdana" w:hAnsi="Verdana"/>
                <w:b/>
              </w:rPr>
            </w:pPr>
            <w:r>
              <w:rPr>
                <w:rFonts w:ascii="Verdana" w:hAnsi="Verdana"/>
                <w:b/>
              </w:rPr>
              <w:t>Responsibility for redundancy and early retirement costs</w:t>
            </w:r>
          </w:p>
          <w:p w14:paraId="6ACB75C2" w14:textId="2D3D82CC" w:rsidR="00167480" w:rsidRDefault="00167480" w:rsidP="00FD11C3">
            <w:pPr>
              <w:spacing w:line="360" w:lineRule="auto"/>
              <w:jc w:val="both"/>
              <w:rPr>
                <w:rFonts w:ascii="Verdana" w:hAnsi="Verdana"/>
              </w:rPr>
            </w:pPr>
            <w:r>
              <w:rPr>
                <w:rFonts w:ascii="Verdana" w:hAnsi="Verdana"/>
              </w:rPr>
              <w:t xml:space="preserve">The </w:t>
            </w:r>
            <w:r w:rsidR="005707F7">
              <w:rPr>
                <w:rFonts w:ascii="Verdana" w:hAnsi="Verdana"/>
              </w:rPr>
              <w:t>A</w:t>
            </w:r>
            <w:r>
              <w:rPr>
                <w:rFonts w:ascii="Verdana" w:hAnsi="Verdana"/>
              </w:rPr>
              <w:t xml:space="preserve">nnex has been updated to clarify the responsibilities of the school and Authority in regards to </w:t>
            </w:r>
            <w:r w:rsidRPr="00167480">
              <w:rPr>
                <w:rFonts w:ascii="Verdana" w:hAnsi="Verdana"/>
              </w:rPr>
              <w:t>redundancy and early retirement costs</w:t>
            </w:r>
            <w:r>
              <w:rPr>
                <w:rFonts w:ascii="Verdana" w:hAnsi="Verdana"/>
              </w:rPr>
              <w:t xml:space="preserve">. </w:t>
            </w:r>
          </w:p>
          <w:p w14:paraId="7A5A03FB" w14:textId="77777777" w:rsidR="00167480" w:rsidRDefault="00167480" w:rsidP="00FD11C3">
            <w:pPr>
              <w:spacing w:line="360" w:lineRule="auto"/>
              <w:jc w:val="both"/>
              <w:rPr>
                <w:rFonts w:ascii="Verdana" w:hAnsi="Verdana"/>
              </w:rPr>
            </w:pPr>
          </w:p>
          <w:p w14:paraId="0D801A50" w14:textId="4E696D7A" w:rsidR="00D775F4" w:rsidRDefault="00D83460" w:rsidP="00FD11C3">
            <w:pPr>
              <w:spacing w:line="360" w:lineRule="auto"/>
              <w:jc w:val="both"/>
              <w:rPr>
                <w:rFonts w:ascii="Verdana" w:hAnsi="Verdana"/>
              </w:rPr>
            </w:pPr>
            <w:r>
              <w:rPr>
                <w:rFonts w:ascii="Verdana" w:hAnsi="Verdana"/>
              </w:rPr>
              <w:t>The A</w:t>
            </w:r>
            <w:r w:rsidR="00167480">
              <w:rPr>
                <w:rFonts w:ascii="Verdana" w:hAnsi="Verdana"/>
              </w:rPr>
              <w:t xml:space="preserve">nnex also sets out examples where there may be exceptions </w:t>
            </w:r>
            <w:r>
              <w:rPr>
                <w:rFonts w:ascii="Verdana" w:hAnsi="Verdana"/>
              </w:rPr>
              <w:t xml:space="preserve">may be taken by the Local Authority </w:t>
            </w:r>
            <w:r w:rsidR="00167480">
              <w:rPr>
                <w:rFonts w:ascii="Verdana" w:hAnsi="Verdana"/>
              </w:rPr>
              <w:t xml:space="preserve">to the default position on redundancy costs. </w:t>
            </w:r>
          </w:p>
          <w:p w14:paraId="4E9F64B6" w14:textId="77777777" w:rsidR="00167480" w:rsidRDefault="00167480" w:rsidP="00FD11C3">
            <w:pPr>
              <w:spacing w:line="360" w:lineRule="auto"/>
              <w:jc w:val="both"/>
              <w:rPr>
                <w:rFonts w:ascii="Verdana" w:hAnsi="Verdana"/>
              </w:rPr>
            </w:pPr>
          </w:p>
          <w:p w14:paraId="5F16AF10" w14:textId="4E8A85D0" w:rsidR="00167480" w:rsidRPr="00167480" w:rsidRDefault="00167480" w:rsidP="00FD11C3">
            <w:pPr>
              <w:spacing w:line="360" w:lineRule="auto"/>
              <w:jc w:val="both"/>
              <w:rPr>
                <w:rFonts w:ascii="Verdana" w:hAnsi="Verdana"/>
              </w:rPr>
            </w:pPr>
            <w:r>
              <w:rPr>
                <w:rFonts w:ascii="Verdana" w:hAnsi="Verdana"/>
              </w:rPr>
              <w:t xml:space="preserve">A procedure has been set out for schools wishing to make representation to the Local Authority to fund redundancy payments. </w:t>
            </w:r>
          </w:p>
        </w:tc>
      </w:tr>
    </w:tbl>
    <w:p w14:paraId="2B8E5687" w14:textId="77777777" w:rsidR="00FD11C3" w:rsidRPr="00FD11C3" w:rsidRDefault="00FD11C3" w:rsidP="00FD11C3">
      <w:pPr>
        <w:spacing w:line="360" w:lineRule="auto"/>
        <w:jc w:val="both"/>
        <w:rPr>
          <w:rFonts w:ascii="Verdana" w:hAnsi="Verdana"/>
        </w:rPr>
      </w:pPr>
    </w:p>
    <w:p w14:paraId="70C73E92" w14:textId="77777777" w:rsidR="00170F6D" w:rsidRPr="00170F6D" w:rsidRDefault="00170F6D" w:rsidP="00170F6D">
      <w:pPr>
        <w:pStyle w:val="ListParagraph"/>
        <w:numPr>
          <w:ilvl w:val="0"/>
          <w:numId w:val="9"/>
        </w:numPr>
        <w:spacing w:line="360" w:lineRule="auto"/>
        <w:jc w:val="both"/>
        <w:rPr>
          <w:rFonts w:ascii="Verdana" w:hAnsi="Verdana"/>
          <w:b/>
        </w:rPr>
      </w:pPr>
      <w:r w:rsidRPr="00170F6D">
        <w:rPr>
          <w:rFonts w:ascii="Verdana" w:hAnsi="Verdana"/>
          <w:b/>
        </w:rPr>
        <w:t xml:space="preserve">Consultation </w:t>
      </w:r>
    </w:p>
    <w:p w14:paraId="7709DE70" w14:textId="1F464738" w:rsidR="00F77FDB" w:rsidRDefault="00170F6D" w:rsidP="00170F6D">
      <w:pPr>
        <w:pStyle w:val="ListParagraph"/>
        <w:numPr>
          <w:ilvl w:val="1"/>
          <w:numId w:val="9"/>
        </w:numPr>
        <w:spacing w:line="360" w:lineRule="auto"/>
        <w:jc w:val="both"/>
        <w:rPr>
          <w:rFonts w:ascii="Verdana" w:hAnsi="Verdana"/>
        </w:rPr>
      </w:pPr>
      <w:r>
        <w:rPr>
          <w:rFonts w:ascii="Verdana" w:hAnsi="Verdana"/>
        </w:rPr>
        <w:t xml:space="preserve">In accordance with the provisions within the policy (1.4 – Revision of the Scheme) and DfE guidance, </w:t>
      </w:r>
      <w:r w:rsidR="00DB687D">
        <w:rPr>
          <w:rFonts w:ascii="Verdana" w:hAnsi="Verdana"/>
        </w:rPr>
        <w:t>“</w:t>
      </w:r>
      <w:r>
        <w:rPr>
          <w:rFonts w:ascii="Verdana" w:hAnsi="Verdana"/>
        </w:rPr>
        <w:t>a</w:t>
      </w:r>
      <w:r w:rsidRPr="00170F6D">
        <w:rPr>
          <w:rFonts w:ascii="Verdana" w:hAnsi="Verdana"/>
        </w:rPr>
        <w:t>ny proposed revisions to the Scheme will be the subject of consultation with the governing body and the headteacher of every school maintained by the Authority</w:t>
      </w:r>
      <w:r w:rsidR="00DB687D">
        <w:rPr>
          <w:rFonts w:ascii="Verdana" w:hAnsi="Verdana"/>
        </w:rPr>
        <w:t>,</w:t>
      </w:r>
      <w:r w:rsidRPr="00170F6D">
        <w:rPr>
          <w:rFonts w:ascii="Verdana" w:hAnsi="Verdana"/>
        </w:rPr>
        <w:t xml:space="preserve"> before they are submitted to the schools forum for their approval</w:t>
      </w:r>
      <w:r w:rsidR="00DB687D">
        <w:rPr>
          <w:rFonts w:ascii="Verdana" w:hAnsi="Verdana"/>
        </w:rPr>
        <w:t>”</w:t>
      </w:r>
      <w:r w:rsidRPr="00170F6D">
        <w:rPr>
          <w:rFonts w:ascii="Verdana" w:hAnsi="Verdana"/>
        </w:rPr>
        <w:t>.</w:t>
      </w:r>
    </w:p>
    <w:p w14:paraId="462456B1" w14:textId="180FC58B" w:rsidR="00170F6D" w:rsidRDefault="0099539D" w:rsidP="00170F6D">
      <w:pPr>
        <w:pStyle w:val="ListParagraph"/>
        <w:numPr>
          <w:ilvl w:val="1"/>
          <w:numId w:val="9"/>
        </w:numPr>
        <w:spacing w:line="360" w:lineRule="auto"/>
        <w:jc w:val="both"/>
        <w:rPr>
          <w:rFonts w:ascii="Verdana" w:hAnsi="Verdana"/>
        </w:rPr>
      </w:pPr>
      <w:r>
        <w:rPr>
          <w:rFonts w:ascii="Verdana" w:hAnsi="Verdana"/>
        </w:rPr>
        <w:t xml:space="preserve">To comply with this requirement, </w:t>
      </w:r>
      <w:r w:rsidR="00170F6D">
        <w:rPr>
          <w:rFonts w:ascii="Verdana" w:hAnsi="Verdana"/>
        </w:rPr>
        <w:t xml:space="preserve">Schools forum are asked to note the new and updated provisions in the policy and provide consent for the policy to be circulated to all maintained schools for consultation. </w:t>
      </w:r>
    </w:p>
    <w:p w14:paraId="31CADF6B" w14:textId="3247416A" w:rsidR="009138B2" w:rsidRDefault="0099539D" w:rsidP="009138B2">
      <w:pPr>
        <w:pStyle w:val="ListParagraph"/>
        <w:numPr>
          <w:ilvl w:val="1"/>
          <w:numId w:val="9"/>
        </w:numPr>
        <w:spacing w:line="360" w:lineRule="auto"/>
        <w:jc w:val="both"/>
        <w:rPr>
          <w:rFonts w:ascii="Verdana" w:hAnsi="Verdana"/>
        </w:rPr>
      </w:pPr>
      <w:r>
        <w:rPr>
          <w:rFonts w:ascii="Verdana" w:hAnsi="Verdana"/>
        </w:rPr>
        <w:t xml:space="preserve">Schools Forum are requested to agree to the policy being placed on the agenda for the next Schools Forum meeting, to consider the consultation responses and review and </w:t>
      </w:r>
      <w:r w:rsidR="00221092">
        <w:rPr>
          <w:rFonts w:ascii="Verdana" w:hAnsi="Verdana"/>
        </w:rPr>
        <w:t xml:space="preserve">formally </w:t>
      </w:r>
      <w:r>
        <w:rPr>
          <w:rFonts w:ascii="Verdana" w:hAnsi="Verdana"/>
        </w:rPr>
        <w:t>approve the final policy.</w:t>
      </w:r>
    </w:p>
    <w:p w14:paraId="1AAF9067" w14:textId="76986CE0" w:rsidR="00170F6D" w:rsidRDefault="00170F6D" w:rsidP="00170F6D">
      <w:pPr>
        <w:spacing w:line="360" w:lineRule="auto"/>
        <w:jc w:val="both"/>
        <w:rPr>
          <w:rFonts w:ascii="Verdana" w:hAnsi="Verdana"/>
        </w:rPr>
      </w:pPr>
    </w:p>
    <w:p w14:paraId="7D68FE5E" w14:textId="77777777" w:rsidR="00816DE7" w:rsidRPr="00170F6D" w:rsidRDefault="00816DE7" w:rsidP="00816DE7">
      <w:pPr>
        <w:pStyle w:val="ListParagraph"/>
        <w:numPr>
          <w:ilvl w:val="0"/>
          <w:numId w:val="9"/>
        </w:numPr>
        <w:spacing w:line="360" w:lineRule="auto"/>
        <w:jc w:val="both"/>
        <w:rPr>
          <w:rFonts w:ascii="Verdana" w:hAnsi="Verdana"/>
          <w:b/>
        </w:rPr>
      </w:pPr>
      <w:r>
        <w:rPr>
          <w:rFonts w:ascii="Verdana" w:hAnsi="Verdana"/>
          <w:b/>
        </w:rPr>
        <w:lastRenderedPageBreak/>
        <w:t>Schools Financial Procedures</w:t>
      </w:r>
    </w:p>
    <w:p w14:paraId="3FF36A83" w14:textId="77777777" w:rsidR="00816DE7" w:rsidRDefault="00816DE7" w:rsidP="00816DE7">
      <w:pPr>
        <w:pStyle w:val="ListParagraph"/>
        <w:numPr>
          <w:ilvl w:val="1"/>
          <w:numId w:val="9"/>
        </w:numPr>
        <w:spacing w:line="360" w:lineRule="auto"/>
        <w:jc w:val="both"/>
        <w:rPr>
          <w:rFonts w:ascii="Verdana" w:hAnsi="Verdana"/>
        </w:rPr>
      </w:pPr>
      <w:r>
        <w:rPr>
          <w:rFonts w:ascii="Verdana" w:hAnsi="Verdana"/>
        </w:rPr>
        <w:t xml:space="preserve">Alongside the Scheme for Financing Schools, there will be a set of Schools Financial Procedures (the “procedures”). The aim of the procedures is to set out in greater detail the mechanisms by which the Scheme will be enforced and the procedures schools should seek to follow in ensuring they are compliant with the Authority’s financial policies. </w:t>
      </w:r>
    </w:p>
    <w:p w14:paraId="5095CCAD" w14:textId="50F39804" w:rsidR="0095092C" w:rsidRPr="00336B31" w:rsidRDefault="00816DE7" w:rsidP="00170F6D">
      <w:pPr>
        <w:pStyle w:val="ListParagraph"/>
        <w:numPr>
          <w:ilvl w:val="1"/>
          <w:numId w:val="9"/>
        </w:numPr>
        <w:spacing w:line="360" w:lineRule="auto"/>
        <w:jc w:val="both"/>
        <w:rPr>
          <w:rFonts w:ascii="Verdana" w:hAnsi="Verdana"/>
        </w:rPr>
      </w:pPr>
      <w:r>
        <w:rPr>
          <w:rFonts w:ascii="Verdana" w:hAnsi="Verdana"/>
        </w:rPr>
        <w:t>As part of the consultation exercise, the Schools Financial Procedures will be developed, in collaboration with business managers from</w:t>
      </w:r>
      <w:r w:rsidR="0052797F">
        <w:rPr>
          <w:rFonts w:ascii="Verdana" w:hAnsi="Verdana"/>
        </w:rPr>
        <w:t xml:space="preserve"> each of the three authorities.</w:t>
      </w:r>
    </w:p>
    <w:p w14:paraId="3CDE92C2" w14:textId="77777777" w:rsidR="009B2638" w:rsidRPr="00170F6D" w:rsidRDefault="009B2638" w:rsidP="00170F6D">
      <w:pPr>
        <w:spacing w:line="360" w:lineRule="auto"/>
        <w:jc w:val="both"/>
        <w:rPr>
          <w:rFonts w:ascii="Verdana" w:hAnsi="Verdana"/>
        </w:rPr>
      </w:pPr>
    </w:p>
    <w:p w14:paraId="7E807287" w14:textId="77777777" w:rsidR="006E4DFD" w:rsidRPr="006E4DFD" w:rsidRDefault="006E4DFD" w:rsidP="00F45EE4">
      <w:pPr>
        <w:pStyle w:val="ListParagraph"/>
        <w:numPr>
          <w:ilvl w:val="0"/>
          <w:numId w:val="10"/>
        </w:numPr>
        <w:spacing w:line="360" w:lineRule="auto"/>
        <w:ind w:left="851" w:hanging="851"/>
        <w:rPr>
          <w:rFonts w:ascii="Verdana" w:hAnsi="Verdana"/>
          <w:b/>
          <w:vanish/>
        </w:rPr>
      </w:pPr>
    </w:p>
    <w:p w14:paraId="20B6A732" w14:textId="77777777" w:rsidR="006E4DFD" w:rsidRPr="006E4DFD" w:rsidRDefault="006E4DFD" w:rsidP="00F45EE4">
      <w:pPr>
        <w:pStyle w:val="ListParagraph"/>
        <w:numPr>
          <w:ilvl w:val="0"/>
          <w:numId w:val="10"/>
        </w:numPr>
        <w:spacing w:line="360" w:lineRule="auto"/>
        <w:ind w:left="851" w:hanging="851"/>
        <w:rPr>
          <w:rFonts w:ascii="Verdana" w:hAnsi="Verdana"/>
          <w:b/>
          <w:vanish/>
        </w:rPr>
      </w:pPr>
    </w:p>
    <w:p w14:paraId="1A38F046" w14:textId="77777777" w:rsidR="006E4DFD" w:rsidRPr="006E4DFD" w:rsidRDefault="006E4DFD" w:rsidP="00F45EE4">
      <w:pPr>
        <w:pStyle w:val="ListParagraph"/>
        <w:numPr>
          <w:ilvl w:val="0"/>
          <w:numId w:val="10"/>
        </w:numPr>
        <w:spacing w:line="360" w:lineRule="auto"/>
        <w:ind w:left="851" w:hanging="851"/>
        <w:rPr>
          <w:rFonts w:ascii="Verdana" w:hAnsi="Verdana"/>
          <w:b/>
          <w:vanish/>
        </w:rPr>
      </w:pPr>
    </w:p>
    <w:p w14:paraId="0E114255" w14:textId="77777777" w:rsidR="00FC7C9C" w:rsidRPr="006E4DFD" w:rsidRDefault="00FC7C9C" w:rsidP="00DD72CC">
      <w:pPr>
        <w:pStyle w:val="ListParagraph"/>
        <w:numPr>
          <w:ilvl w:val="0"/>
          <w:numId w:val="9"/>
        </w:numPr>
        <w:spacing w:line="360" w:lineRule="auto"/>
        <w:ind w:left="851" w:hanging="851"/>
        <w:jc w:val="both"/>
        <w:rPr>
          <w:rFonts w:ascii="Verdana" w:hAnsi="Verdana"/>
        </w:rPr>
      </w:pPr>
      <w:r>
        <w:rPr>
          <w:rFonts w:ascii="Verdana" w:hAnsi="Verdana"/>
          <w:b/>
        </w:rPr>
        <w:t>Recommendations</w:t>
      </w:r>
    </w:p>
    <w:p w14:paraId="4AEE4207" w14:textId="77777777" w:rsidR="00224AE4" w:rsidRDefault="00FC7C9C" w:rsidP="00DD72CC">
      <w:pPr>
        <w:pStyle w:val="ListParagraph"/>
        <w:numPr>
          <w:ilvl w:val="1"/>
          <w:numId w:val="9"/>
        </w:numPr>
        <w:spacing w:line="360" w:lineRule="auto"/>
        <w:ind w:left="851" w:hanging="851"/>
        <w:jc w:val="both"/>
        <w:rPr>
          <w:rFonts w:ascii="Verdana" w:hAnsi="Verdana"/>
        </w:rPr>
      </w:pPr>
      <w:r w:rsidRPr="006E4DFD">
        <w:rPr>
          <w:rFonts w:ascii="Verdana" w:hAnsi="Verdana"/>
        </w:rPr>
        <w:t xml:space="preserve">Schools Forum </w:t>
      </w:r>
      <w:r w:rsidR="00F77FDB">
        <w:rPr>
          <w:rFonts w:ascii="Verdana" w:hAnsi="Verdana"/>
        </w:rPr>
        <w:t>are asked to</w:t>
      </w:r>
      <w:r w:rsidR="00224AE4">
        <w:rPr>
          <w:rFonts w:ascii="Verdana" w:hAnsi="Verdana"/>
        </w:rPr>
        <w:t>:</w:t>
      </w:r>
    </w:p>
    <w:p w14:paraId="5209BF64" w14:textId="67680D2B" w:rsidR="00FA7EF3" w:rsidRDefault="00FA7EF3" w:rsidP="002E7535">
      <w:pPr>
        <w:pStyle w:val="ListParagraph"/>
        <w:numPr>
          <w:ilvl w:val="2"/>
          <w:numId w:val="18"/>
        </w:numPr>
        <w:spacing w:line="360" w:lineRule="auto"/>
        <w:ind w:left="1276" w:hanging="436"/>
        <w:jc w:val="both"/>
        <w:rPr>
          <w:rFonts w:ascii="Verdana" w:hAnsi="Verdana"/>
        </w:rPr>
      </w:pPr>
      <w:r>
        <w:rPr>
          <w:rFonts w:ascii="Verdana" w:hAnsi="Verdana"/>
        </w:rPr>
        <w:t>note the new and updated provisions in the policy;</w:t>
      </w:r>
    </w:p>
    <w:p w14:paraId="5B2BA647" w14:textId="3428669E" w:rsidR="00F77FDB" w:rsidRDefault="00F77FDB" w:rsidP="002E7535">
      <w:pPr>
        <w:pStyle w:val="ListParagraph"/>
        <w:numPr>
          <w:ilvl w:val="2"/>
          <w:numId w:val="18"/>
        </w:numPr>
        <w:spacing w:line="360" w:lineRule="auto"/>
        <w:ind w:left="1276" w:hanging="436"/>
        <w:jc w:val="both"/>
        <w:rPr>
          <w:rFonts w:ascii="Verdana" w:hAnsi="Verdana"/>
        </w:rPr>
      </w:pPr>
      <w:r>
        <w:rPr>
          <w:rFonts w:ascii="Verdana" w:hAnsi="Verdana"/>
        </w:rPr>
        <w:t xml:space="preserve">review and approve the policy </w:t>
      </w:r>
      <w:r w:rsidR="00170F6D">
        <w:rPr>
          <w:rFonts w:ascii="Verdana" w:hAnsi="Verdana"/>
        </w:rPr>
        <w:t>to be consulted on</w:t>
      </w:r>
      <w:r>
        <w:rPr>
          <w:rFonts w:ascii="Verdana" w:hAnsi="Verdana"/>
        </w:rPr>
        <w:t xml:space="preserve"> </w:t>
      </w:r>
      <w:r w:rsidR="00882BB8">
        <w:rPr>
          <w:rFonts w:ascii="Verdana" w:hAnsi="Verdana"/>
        </w:rPr>
        <w:t>with all</w:t>
      </w:r>
      <w:r w:rsidR="00C816A2">
        <w:rPr>
          <w:rFonts w:ascii="Verdana" w:hAnsi="Verdana"/>
        </w:rPr>
        <w:t xml:space="preserve"> </w:t>
      </w:r>
      <w:r>
        <w:rPr>
          <w:rFonts w:ascii="Verdana" w:hAnsi="Verdana"/>
        </w:rPr>
        <w:t>m</w:t>
      </w:r>
      <w:r w:rsidR="00075EDC">
        <w:rPr>
          <w:rFonts w:ascii="Verdana" w:hAnsi="Verdana"/>
        </w:rPr>
        <w:t>aintained schools</w:t>
      </w:r>
      <w:r w:rsidR="00170F6D">
        <w:rPr>
          <w:rFonts w:ascii="Verdana" w:hAnsi="Verdana"/>
        </w:rPr>
        <w:t xml:space="preserve"> (in line with provision 1.4 of the policy)</w:t>
      </w:r>
      <w:r w:rsidR="00075EDC">
        <w:rPr>
          <w:rFonts w:ascii="Verdana" w:hAnsi="Verdana"/>
        </w:rPr>
        <w:t xml:space="preserve">; </w:t>
      </w:r>
      <w:r w:rsidR="00882BB8">
        <w:rPr>
          <w:rFonts w:ascii="Verdana" w:hAnsi="Verdana"/>
        </w:rPr>
        <w:t>and</w:t>
      </w:r>
    </w:p>
    <w:p w14:paraId="472A6C9A" w14:textId="3F80E856" w:rsidR="00FC7C9C" w:rsidRPr="006E4DFD" w:rsidRDefault="00075EDC" w:rsidP="002E7535">
      <w:pPr>
        <w:pStyle w:val="ListParagraph"/>
        <w:numPr>
          <w:ilvl w:val="2"/>
          <w:numId w:val="18"/>
        </w:numPr>
        <w:spacing w:line="360" w:lineRule="auto"/>
        <w:ind w:left="1276" w:hanging="436"/>
        <w:jc w:val="both"/>
        <w:rPr>
          <w:rFonts w:ascii="Verdana" w:hAnsi="Verdana"/>
        </w:rPr>
      </w:pPr>
      <w:r>
        <w:rPr>
          <w:rFonts w:ascii="Verdana" w:hAnsi="Verdana"/>
        </w:rPr>
        <w:t xml:space="preserve">to </w:t>
      </w:r>
      <w:r w:rsidR="000567FA">
        <w:rPr>
          <w:rFonts w:ascii="Verdana" w:hAnsi="Verdana"/>
        </w:rPr>
        <w:t xml:space="preserve">agree </w:t>
      </w:r>
      <w:r>
        <w:rPr>
          <w:rFonts w:ascii="Verdana" w:hAnsi="Verdana"/>
        </w:rPr>
        <w:t xml:space="preserve">the policy being </w:t>
      </w:r>
      <w:r w:rsidR="000567FA">
        <w:rPr>
          <w:rFonts w:ascii="Verdana" w:hAnsi="Verdana"/>
        </w:rPr>
        <w:t>placed on the agenda for t</w:t>
      </w:r>
      <w:r>
        <w:rPr>
          <w:rFonts w:ascii="Verdana" w:hAnsi="Verdana"/>
        </w:rPr>
        <w:t>he next Schools Forum meeting</w:t>
      </w:r>
      <w:r w:rsidR="00FA7EF3">
        <w:rPr>
          <w:rFonts w:ascii="Verdana" w:hAnsi="Verdana"/>
        </w:rPr>
        <w:t>,</w:t>
      </w:r>
      <w:r w:rsidR="000567FA">
        <w:rPr>
          <w:rFonts w:ascii="Verdana" w:hAnsi="Verdana"/>
        </w:rPr>
        <w:t xml:space="preserve"> to consider</w:t>
      </w:r>
      <w:r>
        <w:rPr>
          <w:rFonts w:ascii="Verdana" w:hAnsi="Verdana"/>
        </w:rPr>
        <w:t xml:space="preserve"> the consultation responses </w:t>
      </w:r>
      <w:r w:rsidR="005E6127">
        <w:rPr>
          <w:rFonts w:ascii="Verdana" w:hAnsi="Verdana"/>
        </w:rPr>
        <w:t xml:space="preserve">and </w:t>
      </w:r>
      <w:r w:rsidR="00FA7EF3">
        <w:rPr>
          <w:rFonts w:ascii="Verdana" w:hAnsi="Verdana"/>
        </w:rPr>
        <w:t xml:space="preserve">review and approve the final </w:t>
      </w:r>
      <w:r w:rsidR="005E6127">
        <w:rPr>
          <w:rFonts w:ascii="Verdana" w:hAnsi="Verdana"/>
        </w:rPr>
        <w:t>policy.</w:t>
      </w:r>
    </w:p>
    <w:p w14:paraId="13CCA60C" w14:textId="5FD3C6AA" w:rsidR="00FC7C9C" w:rsidRDefault="00FC7C9C" w:rsidP="00DD72CC">
      <w:pPr>
        <w:spacing w:line="360" w:lineRule="auto"/>
        <w:ind w:left="709" w:hanging="709"/>
        <w:jc w:val="both"/>
        <w:rPr>
          <w:rFonts w:ascii="Verdana" w:hAnsi="Verdana"/>
        </w:rPr>
      </w:pPr>
    </w:p>
    <w:p w14:paraId="2C76580E" w14:textId="77777777" w:rsidR="00B16687" w:rsidRPr="00651958" w:rsidRDefault="00B16687" w:rsidP="00DD72CC">
      <w:pPr>
        <w:spacing w:line="360" w:lineRule="auto"/>
        <w:ind w:left="709" w:hanging="709"/>
        <w:jc w:val="both"/>
        <w:rPr>
          <w:rFonts w:ascii="Verdana" w:hAnsi="Verdana"/>
        </w:rPr>
      </w:pPr>
    </w:p>
    <w:p w14:paraId="2D0ACD76" w14:textId="77777777" w:rsidR="00FC7C9C" w:rsidRPr="00277983" w:rsidRDefault="00FC7C9C" w:rsidP="00DD72CC">
      <w:pPr>
        <w:pStyle w:val="ListParagraph"/>
        <w:spacing w:line="360" w:lineRule="auto"/>
        <w:ind w:left="0"/>
        <w:jc w:val="center"/>
        <w:rPr>
          <w:rFonts w:ascii="Verdana" w:hAnsi="Verdana"/>
          <w:b/>
        </w:rPr>
      </w:pPr>
      <w:r w:rsidRPr="00277983">
        <w:rPr>
          <w:rFonts w:ascii="Verdana" w:hAnsi="Verdana"/>
          <w:b/>
        </w:rPr>
        <w:t>Andrew Tagg</w:t>
      </w:r>
    </w:p>
    <w:p w14:paraId="1278FD10" w14:textId="77777777" w:rsidR="00FC7C9C" w:rsidRPr="00277983" w:rsidRDefault="00FC7C9C" w:rsidP="00DD72CC">
      <w:pPr>
        <w:pStyle w:val="ListParagraph"/>
        <w:spacing w:line="360" w:lineRule="auto"/>
        <w:ind w:left="0"/>
        <w:jc w:val="center"/>
        <w:rPr>
          <w:rFonts w:ascii="Verdana" w:hAnsi="Verdana"/>
          <w:b/>
        </w:rPr>
      </w:pPr>
      <w:r w:rsidRPr="00277983">
        <w:rPr>
          <w:rFonts w:ascii="Verdana" w:hAnsi="Verdana"/>
          <w:b/>
        </w:rPr>
        <w:t>Head of Resources</w:t>
      </w:r>
    </w:p>
    <w:p w14:paraId="46911672" w14:textId="77777777" w:rsidR="00FC7C9C" w:rsidRPr="00277983" w:rsidRDefault="00FC7C9C" w:rsidP="00DD72CC">
      <w:pPr>
        <w:pStyle w:val="ListParagraph"/>
        <w:spacing w:line="360" w:lineRule="auto"/>
        <w:ind w:left="0"/>
        <w:jc w:val="center"/>
        <w:rPr>
          <w:rFonts w:ascii="Verdana" w:hAnsi="Verdana"/>
          <w:b/>
        </w:rPr>
      </w:pPr>
    </w:p>
    <w:p w14:paraId="4716DFC4" w14:textId="09E88394" w:rsidR="00FC7C9C" w:rsidRDefault="00627231" w:rsidP="00DD72CC">
      <w:pPr>
        <w:pStyle w:val="ListParagraph"/>
        <w:spacing w:line="360" w:lineRule="auto"/>
        <w:ind w:left="0"/>
        <w:jc w:val="center"/>
        <w:rPr>
          <w:rFonts w:ascii="Verdana" w:hAnsi="Verdana"/>
          <w:b/>
        </w:rPr>
      </w:pPr>
      <w:r>
        <w:rPr>
          <w:rFonts w:ascii="Verdana" w:hAnsi="Verdana"/>
          <w:b/>
        </w:rPr>
        <w:t>Cla</w:t>
      </w:r>
      <w:r w:rsidR="00FC7C9C">
        <w:rPr>
          <w:rFonts w:ascii="Verdana" w:hAnsi="Verdana"/>
          <w:b/>
        </w:rPr>
        <w:t>re Chamberlain</w:t>
      </w:r>
    </w:p>
    <w:p w14:paraId="53933F90" w14:textId="77777777" w:rsidR="00FC7C9C" w:rsidRDefault="00FC7C9C" w:rsidP="00DD72CC">
      <w:pPr>
        <w:pStyle w:val="ListParagraph"/>
        <w:spacing w:line="360" w:lineRule="auto"/>
        <w:ind w:left="0"/>
        <w:jc w:val="center"/>
        <w:rPr>
          <w:rFonts w:ascii="Verdana" w:hAnsi="Verdana"/>
          <w:b/>
        </w:rPr>
      </w:pPr>
      <w:r>
        <w:rPr>
          <w:rFonts w:ascii="Verdana" w:hAnsi="Verdana"/>
          <w:b/>
        </w:rPr>
        <w:t>Tri-Borough Executive Director – Children’s Services</w:t>
      </w:r>
    </w:p>
    <w:p w14:paraId="52FA5D97" w14:textId="77777777" w:rsidR="00FC7C9C" w:rsidRDefault="00FC7C9C" w:rsidP="00DD72CC">
      <w:pPr>
        <w:pStyle w:val="ListParagraph"/>
        <w:spacing w:line="360" w:lineRule="auto"/>
        <w:ind w:left="0"/>
        <w:jc w:val="center"/>
        <w:rPr>
          <w:rFonts w:ascii="Verdana" w:hAnsi="Verdana"/>
          <w:b/>
        </w:rPr>
      </w:pPr>
    </w:p>
    <w:p w14:paraId="448E7E4A" w14:textId="77777777" w:rsidR="00887D5D" w:rsidRDefault="00887D5D" w:rsidP="00887D5D">
      <w:pPr>
        <w:pStyle w:val="ListParagraph"/>
        <w:spacing w:line="360" w:lineRule="auto"/>
        <w:ind w:left="0"/>
        <w:jc w:val="both"/>
        <w:rPr>
          <w:rFonts w:ascii="Verdana" w:hAnsi="Verdana"/>
          <w:b/>
        </w:rPr>
      </w:pPr>
    </w:p>
    <w:p w14:paraId="3FBA521E" w14:textId="06A6B586" w:rsidR="00887D5D" w:rsidRPr="00204D74" w:rsidRDefault="00887D5D" w:rsidP="00887D5D">
      <w:pPr>
        <w:pStyle w:val="ListParagraph"/>
        <w:spacing w:line="360" w:lineRule="auto"/>
        <w:ind w:left="0"/>
        <w:jc w:val="both"/>
        <w:rPr>
          <w:rFonts w:ascii="Verdana" w:hAnsi="Verdana"/>
          <w:b/>
        </w:rPr>
      </w:pPr>
      <w:r w:rsidRPr="00204D74">
        <w:rPr>
          <w:rFonts w:ascii="Verdana" w:hAnsi="Verdana"/>
          <w:b/>
        </w:rPr>
        <w:t>Background Papers</w:t>
      </w:r>
    </w:p>
    <w:p w14:paraId="6BD9D8A0" w14:textId="2D9C7712" w:rsidR="004365FC" w:rsidRDefault="00C76747" w:rsidP="00556A8C">
      <w:pPr>
        <w:pStyle w:val="ListParagraph"/>
        <w:numPr>
          <w:ilvl w:val="0"/>
          <w:numId w:val="14"/>
        </w:numPr>
        <w:spacing w:line="360" w:lineRule="auto"/>
        <w:jc w:val="both"/>
      </w:pPr>
      <w:r w:rsidRPr="00C76747">
        <w:rPr>
          <w:rFonts w:ascii="Verdana" w:hAnsi="Verdana"/>
        </w:rPr>
        <w:lastRenderedPageBreak/>
        <w:t>Department for Education: Statutory guidance for local authorities on producing and amending school financing schemes.</w:t>
      </w:r>
      <w:r>
        <w:rPr>
          <w:rFonts w:ascii="Verdana" w:hAnsi="Verdana"/>
        </w:rPr>
        <w:t xml:space="preserve"> </w:t>
      </w:r>
      <w:hyperlink r:id="rId8" w:history="1">
        <w:r w:rsidRPr="008471D1">
          <w:rPr>
            <w:rStyle w:val="Hyperlink"/>
          </w:rPr>
          <w:t>https://www.gov.uk/government/publications/schemes-for-financing-schools</w:t>
        </w:r>
      </w:hyperlink>
      <w:r>
        <w:t xml:space="preserve"> </w:t>
      </w:r>
    </w:p>
    <w:p w14:paraId="6690B76B" w14:textId="0033BBBB" w:rsidR="00D436E9" w:rsidRDefault="00D436E9" w:rsidP="00D436E9">
      <w:pPr>
        <w:spacing w:line="360" w:lineRule="auto"/>
        <w:jc w:val="both"/>
      </w:pPr>
    </w:p>
    <w:p w14:paraId="75F0E039" w14:textId="65E5ADE6" w:rsidR="00D436E9" w:rsidRPr="00204D74" w:rsidRDefault="00D436E9" w:rsidP="00D436E9">
      <w:pPr>
        <w:pStyle w:val="ListParagraph"/>
        <w:spacing w:line="360" w:lineRule="auto"/>
        <w:ind w:left="0"/>
        <w:jc w:val="both"/>
        <w:rPr>
          <w:rFonts w:ascii="Verdana" w:hAnsi="Verdana"/>
          <w:b/>
        </w:rPr>
      </w:pPr>
      <w:r>
        <w:rPr>
          <w:rFonts w:ascii="Verdana" w:hAnsi="Verdana"/>
          <w:b/>
        </w:rPr>
        <w:t>Annexes</w:t>
      </w:r>
    </w:p>
    <w:p w14:paraId="6AAD9B8D" w14:textId="77777777" w:rsidR="009C34C9" w:rsidRDefault="009C34C9" w:rsidP="009C34C9">
      <w:pPr>
        <w:pStyle w:val="ListParagraph"/>
        <w:numPr>
          <w:ilvl w:val="0"/>
          <w:numId w:val="21"/>
        </w:numPr>
        <w:spacing w:line="360" w:lineRule="auto"/>
        <w:jc w:val="both"/>
      </w:pPr>
      <w:r>
        <w:rPr>
          <w:rFonts w:ascii="Verdana" w:hAnsi="Verdana"/>
        </w:rPr>
        <w:t xml:space="preserve">Annex A – Proposed Scheme for Financing Schools </w:t>
      </w:r>
    </w:p>
    <w:p w14:paraId="21356D94" w14:textId="77777777" w:rsidR="009C34C9" w:rsidRDefault="009C34C9" w:rsidP="009C34C9">
      <w:pPr>
        <w:pStyle w:val="ListParagraph"/>
        <w:numPr>
          <w:ilvl w:val="0"/>
          <w:numId w:val="21"/>
        </w:numPr>
        <w:spacing w:line="360" w:lineRule="auto"/>
        <w:jc w:val="both"/>
      </w:pPr>
      <w:r>
        <w:rPr>
          <w:rFonts w:ascii="Verdana" w:hAnsi="Verdana"/>
        </w:rPr>
        <w:t xml:space="preserve">Annex B – Current Scheme for Financing Schools </w:t>
      </w:r>
    </w:p>
    <w:p w14:paraId="1DC1D541" w14:textId="538D316A" w:rsidR="00D436E9" w:rsidRDefault="00D436E9" w:rsidP="009C34C9">
      <w:pPr>
        <w:pStyle w:val="ListParagraph"/>
        <w:spacing w:line="360" w:lineRule="auto"/>
        <w:jc w:val="both"/>
      </w:pPr>
    </w:p>
    <w:sectPr w:rsidR="00D436E9" w:rsidSect="003A061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CB78" w14:textId="77777777" w:rsidR="0052549F" w:rsidRDefault="0052549F" w:rsidP="004365FC">
      <w:r>
        <w:separator/>
      </w:r>
    </w:p>
  </w:endnote>
  <w:endnote w:type="continuationSeparator" w:id="0">
    <w:p w14:paraId="1CDE5938" w14:textId="77777777" w:rsidR="0052549F" w:rsidRDefault="0052549F" w:rsidP="004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220586460"/>
      <w:docPartObj>
        <w:docPartGallery w:val="Page Numbers (Bottom of Page)"/>
        <w:docPartUnique/>
      </w:docPartObj>
    </w:sdtPr>
    <w:sdtEndPr>
      <w:rPr>
        <w:noProof/>
      </w:rPr>
    </w:sdtEndPr>
    <w:sdtContent>
      <w:p w14:paraId="7C6F584B" w14:textId="39E56FF0" w:rsidR="003151D9" w:rsidRPr="005C43F8" w:rsidRDefault="003151D9" w:rsidP="005C43F8">
        <w:pPr>
          <w:pStyle w:val="Footer"/>
          <w:jc w:val="center"/>
          <w:rPr>
            <w:rFonts w:ascii="Verdana" w:hAnsi="Verdana"/>
          </w:rPr>
        </w:pPr>
        <w:r w:rsidRPr="00495D0D">
          <w:rPr>
            <w:rFonts w:ascii="Verdana" w:hAnsi="Verdana"/>
          </w:rPr>
          <w:t xml:space="preserve">Page </w:t>
        </w:r>
        <w:r w:rsidRPr="00495D0D">
          <w:rPr>
            <w:rFonts w:ascii="Verdana" w:hAnsi="Verdana"/>
          </w:rPr>
          <w:fldChar w:fldCharType="begin"/>
        </w:r>
        <w:r w:rsidRPr="00495D0D">
          <w:rPr>
            <w:rFonts w:ascii="Verdana" w:hAnsi="Verdana"/>
          </w:rPr>
          <w:instrText xml:space="preserve"> PAGE   \* MERGEFORMAT </w:instrText>
        </w:r>
        <w:r w:rsidRPr="00495D0D">
          <w:rPr>
            <w:rFonts w:ascii="Verdana" w:hAnsi="Verdana"/>
          </w:rPr>
          <w:fldChar w:fldCharType="separate"/>
        </w:r>
        <w:r w:rsidR="00153CD9">
          <w:rPr>
            <w:rFonts w:ascii="Verdana" w:hAnsi="Verdana"/>
            <w:noProof/>
          </w:rPr>
          <w:t>1</w:t>
        </w:r>
        <w:r w:rsidRPr="00495D0D">
          <w:rPr>
            <w:rFonts w:ascii="Verdana" w:hAnsi="Verdana"/>
            <w:noProof/>
          </w:rPr>
          <w:fldChar w:fldCharType="end"/>
        </w:r>
        <w:r w:rsidRPr="00495D0D">
          <w:rPr>
            <w:rFonts w:ascii="Verdana" w:hAnsi="Verdana"/>
            <w:noProof/>
          </w:rPr>
          <w:t xml:space="preserve"> of </w:t>
        </w:r>
        <w:r w:rsidRPr="00495D0D">
          <w:rPr>
            <w:rFonts w:ascii="Verdana" w:hAnsi="Verdana"/>
            <w:noProof/>
          </w:rPr>
          <w:fldChar w:fldCharType="begin"/>
        </w:r>
        <w:r w:rsidRPr="00495D0D">
          <w:rPr>
            <w:rFonts w:ascii="Verdana" w:hAnsi="Verdana"/>
            <w:noProof/>
          </w:rPr>
          <w:instrText xml:space="preserve"> NUMPAGES  \* Arabic  \* MERGEFORMAT </w:instrText>
        </w:r>
        <w:r w:rsidRPr="00495D0D">
          <w:rPr>
            <w:rFonts w:ascii="Verdana" w:hAnsi="Verdana"/>
            <w:noProof/>
          </w:rPr>
          <w:fldChar w:fldCharType="separate"/>
        </w:r>
        <w:r w:rsidR="00153CD9">
          <w:rPr>
            <w:rFonts w:ascii="Verdana" w:hAnsi="Verdana"/>
            <w:noProof/>
          </w:rPr>
          <w:t>6</w:t>
        </w:r>
        <w:r w:rsidRPr="00495D0D">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744A" w14:textId="77777777" w:rsidR="0052549F" w:rsidRDefault="0052549F" w:rsidP="004365FC">
      <w:r>
        <w:separator/>
      </w:r>
    </w:p>
  </w:footnote>
  <w:footnote w:type="continuationSeparator" w:id="0">
    <w:p w14:paraId="1C96E05B" w14:textId="77777777" w:rsidR="0052549F" w:rsidRDefault="0052549F" w:rsidP="0043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99"/>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93FDA"/>
    <w:multiLevelType w:val="hybridMultilevel"/>
    <w:tmpl w:val="97F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4AA7"/>
    <w:multiLevelType w:val="hybridMultilevel"/>
    <w:tmpl w:val="2868689E"/>
    <w:lvl w:ilvl="0" w:tplc="79DC7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C24EAE"/>
    <w:multiLevelType w:val="multilevel"/>
    <w:tmpl w:val="06960DD4"/>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A8052DA"/>
    <w:multiLevelType w:val="multilevel"/>
    <w:tmpl w:val="A63001CC"/>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5" w15:restartNumberingAfterBreak="0">
    <w:nsid w:val="1F46022F"/>
    <w:multiLevelType w:val="multilevel"/>
    <w:tmpl w:val="739831B0"/>
    <w:lvl w:ilvl="0">
      <w:start w:val="1"/>
      <w:numFmt w:val="decimal"/>
      <w:lvlText w:val="%1"/>
      <w:lvlJc w:val="left"/>
      <w:pPr>
        <w:ind w:left="930" w:hanging="570"/>
      </w:pPr>
      <w:rPr>
        <w:rFonts w:hint="default"/>
      </w:rPr>
    </w:lvl>
    <w:lvl w:ilvl="1">
      <w:start w:val="2"/>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6" w15:restartNumberingAfterBreak="0">
    <w:nsid w:val="1FE24EC2"/>
    <w:multiLevelType w:val="hybridMultilevel"/>
    <w:tmpl w:val="458A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1403CC"/>
    <w:multiLevelType w:val="hybridMultilevel"/>
    <w:tmpl w:val="5A18B568"/>
    <w:lvl w:ilvl="0" w:tplc="4016F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43B0B"/>
    <w:multiLevelType w:val="hybridMultilevel"/>
    <w:tmpl w:val="B4E4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06BA2"/>
    <w:multiLevelType w:val="hybridMultilevel"/>
    <w:tmpl w:val="0B2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03A72"/>
    <w:multiLevelType w:val="hybridMultilevel"/>
    <w:tmpl w:val="B5A8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57ED8"/>
    <w:multiLevelType w:val="multilevel"/>
    <w:tmpl w:val="BD26FB2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C90B03"/>
    <w:multiLevelType w:val="hybridMultilevel"/>
    <w:tmpl w:val="57026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130F8B"/>
    <w:multiLevelType w:val="hybridMultilevel"/>
    <w:tmpl w:val="E94A6654"/>
    <w:lvl w:ilvl="0" w:tplc="B63244C0">
      <w:start w:val="6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C6B22"/>
    <w:multiLevelType w:val="hybridMultilevel"/>
    <w:tmpl w:val="801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F208D"/>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37286"/>
    <w:multiLevelType w:val="multilevel"/>
    <w:tmpl w:val="8BAE2FC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6E79DB"/>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4F4E42"/>
    <w:multiLevelType w:val="hybridMultilevel"/>
    <w:tmpl w:val="16F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A5631"/>
    <w:multiLevelType w:val="hybridMultilevel"/>
    <w:tmpl w:val="C1C4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0"/>
  </w:num>
  <w:num w:numId="6">
    <w:abstractNumId w:val="3"/>
  </w:num>
  <w:num w:numId="7">
    <w:abstractNumId w:val="12"/>
  </w:num>
  <w:num w:numId="8">
    <w:abstractNumId w:val="17"/>
  </w:num>
  <w:num w:numId="9">
    <w:abstractNumId w:val="11"/>
  </w:num>
  <w:num w:numId="10">
    <w:abstractNumId w:val="15"/>
  </w:num>
  <w:num w:numId="11">
    <w:abstractNumId w:val="19"/>
  </w:num>
  <w:num w:numId="12">
    <w:abstractNumId w:val="1"/>
  </w:num>
  <w:num w:numId="13">
    <w:abstractNumId w:val="9"/>
  </w:num>
  <w:num w:numId="14">
    <w:abstractNumId w:val="10"/>
  </w:num>
  <w:num w:numId="15">
    <w:abstractNumId w:val="5"/>
  </w:num>
  <w:num w:numId="16">
    <w:abstractNumId w:val="18"/>
  </w:num>
  <w:num w:numId="17">
    <w:abstractNumId w:val="6"/>
  </w:num>
  <w:num w:numId="18">
    <w:abstractNumId w:val="16"/>
  </w:num>
  <w:num w:numId="19">
    <w:abstractNumId w:val="14"/>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C3"/>
    <w:rsid w:val="000014E8"/>
    <w:rsid w:val="00011193"/>
    <w:rsid w:val="00026586"/>
    <w:rsid w:val="00031E4D"/>
    <w:rsid w:val="000567FA"/>
    <w:rsid w:val="0006306A"/>
    <w:rsid w:val="000632D8"/>
    <w:rsid w:val="00065918"/>
    <w:rsid w:val="00072798"/>
    <w:rsid w:val="00075A02"/>
    <w:rsid w:val="00075EDC"/>
    <w:rsid w:val="000764D3"/>
    <w:rsid w:val="000B1E45"/>
    <w:rsid w:val="000B3657"/>
    <w:rsid w:val="000C2488"/>
    <w:rsid w:val="000C249F"/>
    <w:rsid w:val="000C2AF9"/>
    <w:rsid w:val="000C46C4"/>
    <w:rsid w:val="000C74CA"/>
    <w:rsid w:val="000E0549"/>
    <w:rsid w:val="000E7D18"/>
    <w:rsid w:val="000F0E27"/>
    <w:rsid w:val="00101577"/>
    <w:rsid w:val="0010638B"/>
    <w:rsid w:val="00111C9D"/>
    <w:rsid w:val="001347A7"/>
    <w:rsid w:val="001437C0"/>
    <w:rsid w:val="001477CF"/>
    <w:rsid w:val="00153CD9"/>
    <w:rsid w:val="00167480"/>
    <w:rsid w:val="00170F6D"/>
    <w:rsid w:val="00175A91"/>
    <w:rsid w:val="001772E2"/>
    <w:rsid w:val="001861EC"/>
    <w:rsid w:val="00186307"/>
    <w:rsid w:val="00187547"/>
    <w:rsid w:val="001879B6"/>
    <w:rsid w:val="001960D8"/>
    <w:rsid w:val="001A1CE5"/>
    <w:rsid w:val="001A2B6A"/>
    <w:rsid w:val="001A4316"/>
    <w:rsid w:val="001A55C7"/>
    <w:rsid w:val="001B1668"/>
    <w:rsid w:val="001D0A8A"/>
    <w:rsid w:val="001D47A9"/>
    <w:rsid w:val="00204D74"/>
    <w:rsid w:val="00220928"/>
    <w:rsid w:val="00221092"/>
    <w:rsid w:val="00224963"/>
    <w:rsid w:val="00224AE4"/>
    <w:rsid w:val="002300E4"/>
    <w:rsid w:val="002415B4"/>
    <w:rsid w:val="00244B10"/>
    <w:rsid w:val="00245FF8"/>
    <w:rsid w:val="0026315D"/>
    <w:rsid w:val="00266527"/>
    <w:rsid w:val="00274EB6"/>
    <w:rsid w:val="00277983"/>
    <w:rsid w:val="00283C88"/>
    <w:rsid w:val="00290A45"/>
    <w:rsid w:val="00291726"/>
    <w:rsid w:val="0029248C"/>
    <w:rsid w:val="002B1FAF"/>
    <w:rsid w:val="002B303D"/>
    <w:rsid w:val="002E71DF"/>
    <w:rsid w:val="002E7535"/>
    <w:rsid w:val="002E763F"/>
    <w:rsid w:val="002F56B6"/>
    <w:rsid w:val="00311444"/>
    <w:rsid w:val="003151D9"/>
    <w:rsid w:val="00316F9B"/>
    <w:rsid w:val="003219F5"/>
    <w:rsid w:val="00336B31"/>
    <w:rsid w:val="003377FC"/>
    <w:rsid w:val="00345D2B"/>
    <w:rsid w:val="003533B2"/>
    <w:rsid w:val="00360868"/>
    <w:rsid w:val="003666E6"/>
    <w:rsid w:val="0037306C"/>
    <w:rsid w:val="00386C04"/>
    <w:rsid w:val="0039099E"/>
    <w:rsid w:val="0039450F"/>
    <w:rsid w:val="00395A61"/>
    <w:rsid w:val="003A0516"/>
    <w:rsid w:val="003A0619"/>
    <w:rsid w:val="003A5057"/>
    <w:rsid w:val="003B6BD7"/>
    <w:rsid w:val="003C7A37"/>
    <w:rsid w:val="003D1899"/>
    <w:rsid w:val="003F0A7E"/>
    <w:rsid w:val="003F77B3"/>
    <w:rsid w:val="0040010A"/>
    <w:rsid w:val="00404833"/>
    <w:rsid w:val="00410BF5"/>
    <w:rsid w:val="004202DC"/>
    <w:rsid w:val="00420A09"/>
    <w:rsid w:val="00430836"/>
    <w:rsid w:val="00432846"/>
    <w:rsid w:val="004365FC"/>
    <w:rsid w:val="0044377B"/>
    <w:rsid w:val="00451A4D"/>
    <w:rsid w:val="004539F5"/>
    <w:rsid w:val="004606B1"/>
    <w:rsid w:val="00462D6A"/>
    <w:rsid w:val="0047631C"/>
    <w:rsid w:val="0049279B"/>
    <w:rsid w:val="00497C9B"/>
    <w:rsid w:val="004A2994"/>
    <w:rsid w:val="004A7ACB"/>
    <w:rsid w:val="004C3DE3"/>
    <w:rsid w:val="00511F58"/>
    <w:rsid w:val="0052549F"/>
    <w:rsid w:val="0052797F"/>
    <w:rsid w:val="00536BEB"/>
    <w:rsid w:val="005376E3"/>
    <w:rsid w:val="00537FF3"/>
    <w:rsid w:val="00544CFF"/>
    <w:rsid w:val="005552F1"/>
    <w:rsid w:val="005707F7"/>
    <w:rsid w:val="0057614E"/>
    <w:rsid w:val="00591FF3"/>
    <w:rsid w:val="005B48F7"/>
    <w:rsid w:val="005C43F8"/>
    <w:rsid w:val="005C5C2C"/>
    <w:rsid w:val="005C6E72"/>
    <w:rsid w:val="005E6127"/>
    <w:rsid w:val="005F7E5D"/>
    <w:rsid w:val="00603E7C"/>
    <w:rsid w:val="00611AA0"/>
    <w:rsid w:val="00616481"/>
    <w:rsid w:val="00627231"/>
    <w:rsid w:val="00634FB9"/>
    <w:rsid w:val="00644753"/>
    <w:rsid w:val="00650869"/>
    <w:rsid w:val="00651958"/>
    <w:rsid w:val="0065228F"/>
    <w:rsid w:val="00661144"/>
    <w:rsid w:val="00662062"/>
    <w:rsid w:val="00667A30"/>
    <w:rsid w:val="00670017"/>
    <w:rsid w:val="00684A45"/>
    <w:rsid w:val="00696644"/>
    <w:rsid w:val="006B4C89"/>
    <w:rsid w:val="006E4DFD"/>
    <w:rsid w:val="006E55EE"/>
    <w:rsid w:val="006F251C"/>
    <w:rsid w:val="006F2996"/>
    <w:rsid w:val="006F4276"/>
    <w:rsid w:val="00704088"/>
    <w:rsid w:val="00714A91"/>
    <w:rsid w:val="0073043C"/>
    <w:rsid w:val="00731D8C"/>
    <w:rsid w:val="007329F9"/>
    <w:rsid w:val="00733E6B"/>
    <w:rsid w:val="00735B9E"/>
    <w:rsid w:val="00774E1B"/>
    <w:rsid w:val="00782CF4"/>
    <w:rsid w:val="007830A3"/>
    <w:rsid w:val="007A1527"/>
    <w:rsid w:val="007B263A"/>
    <w:rsid w:val="007C0A31"/>
    <w:rsid w:val="007C0FD2"/>
    <w:rsid w:val="007D316B"/>
    <w:rsid w:val="007D61F3"/>
    <w:rsid w:val="007E2CBC"/>
    <w:rsid w:val="007F7275"/>
    <w:rsid w:val="00814C39"/>
    <w:rsid w:val="00816DE7"/>
    <w:rsid w:val="008211DF"/>
    <w:rsid w:val="00822A28"/>
    <w:rsid w:val="00831C72"/>
    <w:rsid w:val="008361DE"/>
    <w:rsid w:val="0084242E"/>
    <w:rsid w:val="00847310"/>
    <w:rsid w:val="00867513"/>
    <w:rsid w:val="008748BB"/>
    <w:rsid w:val="00882BB8"/>
    <w:rsid w:val="00884061"/>
    <w:rsid w:val="00887D5D"/>
    <w:rsid w:val="00893476"/>
    <w:rsid w:val="008A0B99"/>
    <w:rsid w:val="008A49C5"/>
    <w:rsid w:val="008A4D03"/>
    <w:rsid w:val="008B0B1A"/>
    <w:rsid w:val="008B62CE"/>
    <w:rsid w:val="008B6454"/>
    <w:rsid w:val="008C7400"/>
    <w:rsid w:val="008D3AEA"/>
    <w:rsid w:val="008E1B09"/>
    <w:rsid w:val="00901069"/>
    <w:rsid w:val="009138B2"/>
    <w:rsid w:val="00937EB4"/>
    <w:rsid w:val="00942EA1"/>
    <w:rsid w:val="0095092C"/>
    <w:rsid w:val="00956E9A"/>
    <w:rsid w:val="00957F71"/>
    <w:rsid w:val="0096392C"/>
    <w:rsid w:val="00971FCF"/>
    <w:rsid w:val="00975825"/>
    <w:rsid w:val="0097632A"/>
    <w:rsid w:val="0097799F"/>
    <w:rsid w:val="009936A6"/>
    <w:rsid w:val="0099539D"/>
    <w:rsid w:val="009A0D2B"/>
    <w:rsid w:val="009B0724"/>
    <w:rsid w:val="009B2512"/>
    <w:rsid w:val="009B2638"/>
    <w:rsid w:val="009C2B77"/>
    <w:rsid w:val="009C34C9"/>
    <w:rsid w:val="009D7C69"/>
    <w:rsid w:val="009E020D"/>
    <w:rsid w:val="009E55A8"/>
    <w:rsid w:val="009F471A"/>
    <w:rsid w:val="00A002BB"/>
    <w:rsid w:val="00A07245"/>
    <w:rsid w:val="00A0736D"/>
    <w:rsid w:val="00A11C7A"/>
    <w:rsid w:val="00A1244A"/>
    <w:rsid w:val="00A40DD9"/>
    <w:rsid w:val="00A60D51"/>
    <w:rsid w:val="00A87838"/>
    <w:rsid w:val="00AA02A8"/>
    <w:rsid w:val="00AA0737"/>
    <w:rsid w:val="00AA40EF"/>
    <w:rsid w:val="00AA5E4B"/>
    <w:rsid w:val="00AB2F1B"/>
    <w:rsid w:val="00AC3805"/>
    <w:rsid w:val="00AE3A62"/>
    <w:rsid w:val="00AE485E"/>
    <w:rsid w:val="00AF4833"/>
    <w:rsid w:val="00AF5004"/>
    <w:rsid w:val="00B06E71"/>
    <w:rsid w:val="00B11CB8"/>
    <w:rsid w:val="00B16687"/>
    <w:rsid w:val="00B47724"/>
    <w:rsid w:val="00B52BEB"/>
    <w:rsid w:val="00B57338"/>
    <w:rsid w:val="00B62444"/>
    <w:rsid w:val="00B642ED"/>
    <w:rsid w:val="00B804B1"/>
    <w:rsid w:val="00B8195E"/>
    <w:rsid w:val="00B81FC9"/>
    <w:rsid w:val="00B9123E"/>
    <w:rsid w:val="00B97980"/>
    <w:rsid w:val="00BC2348"/>
    <w:rsid w:val="00BC37BA"/>
    <w:rsid w:val="00BC73BE"/>
    <w:rsid w:val="00BD25CC"/>
    <w:rsid w:val="00BD35BE"/>
    <w:rsid w:val="00BD5E9A"/>
    <w:rsid w:val="00BD7648"/>
    <w:rsid w:val="00BE0D03"/>
    <w:rsid w:val="00BE4AAA"/>
    <w:rsid w:val="00BE70DA"/>
    <w:rsid w:val="00C00C8F"/>
    <w:rsid w:val="00C07095"/>
    <w:rsid w:val="00C10A88"/>
    <w:rsid w:val="00C124C9"/>
    <w:rsid w:val="00C12DD5"/>
    <w:rsid w:val="00C16E77"/>
    <w:rsid w:val="00C206D9"/>
    <w:rsid w:val="00C236BF"/>
    <w:rsid w:val="00C32B9E"/>
    <w:rsid w:val="00C6645A"/>
    <w:rsid w:val="00C72AA7"/>
    <w:rsid w:val="00C76747"/>
    <w:rsid w:val="00C816A2"/>
    <w:rsid w:val="00C83FA8"/>
    <w:rsid w:val="00CA0707"/>
    <w:rsid w:val="00CC589B"/>
    <w:rsid w:val="00CD5ED9"/>
    <w:rsid w:val="00CF71B0"/>
    <w:rsid w:val="00D01175"/>
    <w:rsid w:val="00D038AD"/>
    <w:rsid w:val="00D17CDE"/>
    <w:rsid w:val="00D24E6B"/>
    <w:rsid w:val="00D2624C"/>
    <w:rsid w:val="00D30154"/>
    <w:rsid w:val="00D37DC3"/>
    <w:rsid w:val="00D436E9"/>
    <w:rsid w:val="00D542E2"/>
    <w:rsid w:val="00D65C85"/>
    <w:rsid w:val="00D775F4"/>
    <w:rsid w:val="00D83049"/>
    <w:rsid w:val="00D83460"/>
    <w:rsid w:val="00D8585B"/>
    <w:rsid w:val="00D94E39"/>
    <w:rsid w:val="00DA51A2"/>
    <w:rsid w:val="00DB687D"/>
    <w:rsid w:val="00DD1D5F"/>
    <w:rsid w:val="00DD72CC"/>
    <w:rsid w:val="00DE21C3"/>
    <w:rsid w:val="00E017C1"/>
    <w:rsid w:val="00E02B85"/>
    <w:rsid w:val="00E0682F"/>
    <w:rsid w:val="00E10CA4"/>
    <w:rsid w:val="00E412DC"/>
    <w:rsid w:val="00E41856"/>
    <w:rsid w:val="00E4213A"/>
    <w:rsid w:val="00E42693"/>
    <w:rsid w:val="00E446A8"/>
    <w:rsid w:val="00E51B31"/>
    <w:rsid w:val="00E80074"/>
    <w:rsid w:val="00E87C9D"/>
    <w:rsid w:val="00E93616"/>
    <w:rsid w:val="00E93CAB"/>
    <w:rsid w:val="00E9544E"/>
    <w:rsid w:val="00EC11C2"/>
    <w:rsid w:val="00ED2F63"/>
    <w:rsid w:val="00ED5245"/>
    <w:rsid w:val="00EF572B"/>
    <w:rsid w:val="00F37FEE"/>
    <w:rsid w:val="00F44886"/>
    <w:rsid w:val="00F459B7"/>
    <w:rsid w:val="00F45EE4"/>
    <w:rsid w:val="00F47608"/>
    <w:rsid w:val="00F51174"/>
    <w:rsid w:val="00F763A8"/>
    <w:rsid w:val="00F77FDB"/>
    <w:rsid w:val="00F86941"/>
    <w:rsid w:val="00FA1EC4"/>
    <w:rsid w:val="00FA48B0"/>
    <w:rsid w:val="00FA6FDB"/>
    <w:rsid w:val="00FA7EF3"/>
    <w:rsid w:val="00FB4A16"/>
    <w:rsid w:val="00FC1757"/>
    <w:rsid w:val="00FC3FF3"/>
    <w:rsid w:val="00FC7C9C"/>
    <w:rsid w:val="00FD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FC37B5"/>
  <w15:docId w15:val="{ADE138A5-CDF5-41BC-A89D-AADEB93C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C3"/>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D37DC3"/>
    <w:pPr>
      <w:ind w:left="720"/>
      <w:contextualSpacing/>
    </w:pPr>
  </w:style>
  <w:style w:type="paragraph" w:styleId="Header">
    <w:name w:val="header"/>
    <w:basedOn w:val="Normal"/>
    <w:link w:val="HeaderChar"/>
    <w:uiPriority w:val="99"/>
    <w:unhideWhenUsed/>
    <w:rsid w:val="004365FC"/>
    <w:pPr>
      <w:tabs>
        <w:tab w:val="center" w:pos="4513"/>
        <w:tab w:val="right" w:pos="9026"/>
      </w:tabs>
    </w:pPr>
  </w:style>
  <w:style w:type="character" w:customStyle="1" w:styleId="HeaderChar">
    <w:name w:val="Header Char"/>
    <w:basedOn w:val="DefaultParagraphFont"/>
    <w:link w:val="Header"/>
    <w:uiPriority w:val="99"/>
    <w:rsid w:val="004365FC"/>
  </w:style>
  <w:style w:type="paragraph" w:styleId="Footer">
    <w:name w:val="footer"/>
    <w:basedOn w:val="Normal"/>
    <w:link w:val="FooterChar"/>
    <w:uiPriority w:val="99"/>
    <w:unhideWhenUsed/>
    <w:rsid w:val="004365FC"/>
    <w:pPr>
      <w:tabs>
        <w:tab w:val="center" w:pos="4513"/>
        <w:tab w:val="right" w:pos="9026"/>
      </w:tabs>
    </w:pPr>
  </w:style>
  <w:style w:type="character" w:customStyle="1" w:styleId="FooterChar">
    <w:name w:val="Footer Char"/>
    <w:basedOn w:val="DefaultParagraphFont"/>
    <w:link w:val="Footer"/>
    <w:uiPriority w:val="99"/>
    <w:rsid w:val="004365FC"/>
  </w:style>
  <w:style w:type="paragraph" w:styleId="BodyTextIndent">
    <w:name w:val="Body Text Indent"/>
    <w:basedOn w:val="Normal"/>
    <w:link w:val="BodyTextIndentChar"/>
    <w:rsid w:val="00BE0D03"/>
    <w:pPr>
      <w:ind w:left="720"/>
    </w:pPr>
    <w:rPr>
      <w:rFonts w:ascii="Verdana" w:eastAsia="Times New Roman" w:hAnsi="Verdana" w:cs="Times New Roman"/>
    </w:rPr>
  </w:style>
  <w:style w:type="character" w:customStyle="1" w:styleId="BodyTextIndentChar">
    <w:name w:val="Body Text Indent Char"/>
    <w:basedOn w:val="DefaultParagraphFont"/>
    <w:link w:val="BodyTextIndent"/>
    <w:rsid w:val="00BE0D03"/>
    <w:rPr>
      <w:rFonts w:ascii="Verdana" w:eastAsia="Times New Roman" w:hAnsi="Verdana" w:cs="Times New Roman"/>
    </w:rPr>
  </w:style>
  <w:style w:type="paragraph" w:customStyle="1" w:styleId="Default">
    <w:name w:val="Default"/>
    <w:rsid w:val="00BE0D03"/>
    <w:pPr>
      <w:autoSpaceDE w:val="0"/>
      <w:autoSpaceDN w:val="0"/>
      <w:adjustRightInd w:val="0"/>
    </w:pPr>
    <w:rPr>
      <w:rFonts w:ascii="Verdana" w:hAnsi="Verdana" w:cs="Verdana"/>
      <w:color w:val="000000"/>
    </w:rPr>
  </w:style>
  <w:style w:type="table" w:styleId="TableGrid">
    <w:name w:val="Table Grid"/>
    <w:basedOn w:val="TableNormal"/>
    <w:uiPriority w:val="59"/>
    <w:rsid w:val="00E4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5C7"/>
    <w:rPr>
      <w:sz w:val="16"/>
      <w:szCs w:val="16"/>
    </w:rPr>
  </w:style>
  <w:style w:type="paragraph" w:styleId="CommentText">
    <w:name w:val="annotation text"/>
    <w:basedOn w:val="Normal"/>
    <w:link w:val="CommentTextChar"/>
    <w:uiPriority w:val="99"/>
    <w:semiHidden/>
    <w:unhideWhenUsed/>
    <w:rsid w:val="001A55C7"/>
    <w:rPr>
      <w:sz w:val="20"/>
      <w:szCs w:val="20"/>
    </w:rPr>
  </w:style>
  <w:style w:type="character" w:customStyle="1" w:styleId="CommentTextChar">
    <w:name w:val="Comment Text Char"/>
    <w:basedOn w:val="DefaultParagraphFont"/>
    <w:link w:val="CommentText"/>
    <w:uiPriority w:val="99"/>
    <w:semiHidden/>
    <w:rsid w:val="001A55C7"/>
    <w:rPr>
      <w:sz w:val="20"/>
      <w:szCs w:val="20"/>
    </w:rPr>
  </w:style>
  <w:style w:type="paragraph" w:styleId="CommentSubject">
    <w:name w:val="annotation subject"/>
    <w:basedOn w:val="CommentText"/>
    <w:next w:val="CommentText"/>
    <w:link w:val="CommentSubjectChar"/>
    <w:uiPriority w:val="99"/>
    <w:semiHidden/>
    <w:unhideWhenUsed/>
    <w:rsid w:val="001A55C7"/>
    <w:rPr>
      <w:b/>
      <w:bCs/>
    </w:rPr>
  </w:style>
  <w:style w:type="character" w:customStyle="1" w:styleId="CommentSubjectChar">
    <w:name w:val="Comment Subject Char"/>
    <w:basedOn w:val="CommentTextChar"/>
    <w:link w:val="CommentSubject"/>
    <w:uiPriority w:val="99"/>
    <w:semiHidden/>
    <w:rsid w:val="001A55C7"/>
    <w:rPr>
      <w:b/>
      <w:bCs/>
      <w:sz w:val="20"/>
      <w:szCs w:val="20"/>
    </w:rPr>
  </w:style>
  <w:style w:type="paragraph" w:styleId="BalloonText">
    <w:name w:val="Balloon Text"/>
    <w:basedOn w:val="Normal"/>
    <w:link w:val="BalloonTextChar"/>
    <w:uiPriority w:val="99"/>
    <w:semiHidden/>
    <w:unhideWhenUsed/>
    <w:rsid w:val="001A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C7"/>
    <w:rPr>
      <w:rFonts w:ascii="Segoe UI" w:hAnsi="Segoe UI" w:cs="Segoe UI"/>
      <w:sz w:val="18"/>
      <w:szCs w:val="18"/>
    </w:rPr>
  </w:style>
  <w:style w:type="character" w:styleId="Hyperlink">
    <w:name w:val="Hyperlink"/>
    <w:basedOn w:val="DefaultParagraphFont"/>
    <w:uiPriority w:val="99"/>
    <w:unhideWhenUsed/>
    <w:rsid w:val="00204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613">
      <w:bodyDiv w:val="1"/>
      <w:marLeft w:val="0"/>
      <w:marRight w:val="0"/>
      <w:marTop w:val="0"/>
      <w:marBottom w:val="0"/>
      <w:divBdr>
        <w:top w:val="none" w:sz="0" w:space="0" w:color="auto"/>
        <w:left w:val="none" w:sz="0" w:space="0" w:color="auto"/>
        <w:bottom w:val="none" w:sz="0" w:space="0" w:color="auto"/>
        <w:right w:val="none" w:sz="0" w:space="0" w:color="auto"/>
      </w:divBdr>
    </w:div>
    <w:div w:id="601766238">
      <w:bodyDiv w:val="1"/>
      <w:marLeft w:val="0"/>
      <w:marRight w:val="0"/>
      <w:marTop w:val="0"/>
      <w:marBottom w:val="0"/>
      <w:divBdr>
        <w:top w:val="none" w:sz="0" w:space="0" w:color="auto"/>
        <w:left w:val="none" w:sz="0" w:space="0" w:color="auto"/>
        <w:bottom w:val="none" w:sz="0" w:space="0" w:color="auto"/>
        <w:right w:val="none" w:sz="0" w:space="0" w:color="auto"/>
      </w:divBdr>
    </w:div>
    <w:div w:id="1754888207">
      <w:bodyDiv w:val="1"/>
      <w:marLeft w:val="0"/>
      <w:marRight w:val="0"/>
      <w:marTop w:val="0"/>
      <w:marBottom w:val="0"/>
      <w:divBdr>
        <w:top w:val="none" w:sz="0" w:space="0" w:color="auto"/>
        <w:left w:val="none" w:sz="0" w:space="0" w:color="auto"/>
        <w:bottom w:val="none" w:sz="0" w:space="0" w:color="auto"/>
        <w:right w:val="none" w:sz="0" w:space="0" w:color="auto"/>
      </w:divBdr>
    </w:div>
    <w:div w:id="1858880851">
      <w:bodyDiv w:val="1"/>
      <w:marLeft w:val="0"/>
      <w:marRight w:val="0"/>
      <w:marTop w:val="0"/>
      <w:marBottom w:val="0"/>
      <w:divBdr>
        <w:top w:val="none" w:sz="0" w:space="0" w:color="auto"/>
        <w:left w:val="none" w:sz="0" w:space="0" w:color="auto"/>
        <w:bottom w:val="none" w:sz="0" w:space="0" w:color="auto"/>
        <w:right w:val="none" w:sz="0" w:space="0" w:color="auto"/>
      </w:divBdr>
    </w:div>
    <w:div w:id="2100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emes-for-financing-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3191-E98B-425D-9334-89991B29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EDUALJU</dc:creator>
  <cp:lastModifiedBy>Verma, Vik: CS-Fin: RBKC</cp:lastModifiedBy>
  <cp:revision>123</cp:revision>
  <dcterms:created xsi:type="dcterms:W3CDTF">2016-12-29T09:10:00Z</dcterms:created>
  <dcterms:modified xsi:type="dcterms:W3CDTF">2017-01-10T10:20:00Z</dcterms:modified>
</cp:coreProperties>
</file>