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B1E0" w14:textId="0413564C" w:rsidR="00FB5A12" w:rsidRPr="00FB5A12" w:rsidRDefault="00FB5A12" w:rsidP="00FB5A12">
      <w:pPr>
        <w:spacing w:line="360" w:lineRule="auto"/>
        <w:ind w:left="851" w:hanging="851"/>
        <w:jc w:val="right"/>
        <w:rPr>
          <w:rFonts w:ascii="Verdana" w:eastAsia="Times New Roman" w:hAnsi="Verdana" w:cs="Times New Roman"/>
          <w:b/>
          <w:noProof/>
          <w:sz w:val="48"/>
          <w:lang w:val="en-US"/>
        </w:rPr>
      </w:pPr>
      <w:r w:rsidRPr="00FB5A12">
        <w:rPr>
          <w:rFonts w:ascii="Verdana" w:eastAsia="Times New Roman" w:hAnsi="Verdana" w:cs="Times New Roman"/>
          <w:b/>
          <w:noProof/>
          <w:sz w:val="48"/>
          <w:lang w:val="en-US"/>
        </w:rPr>
        <w:t>A5</w:t>
      </w:r>
    </w:p>
    <w:p w14:paraId="71754CD0" w14:textId="7B2F83C9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>
        <w:rPr>
          <w:rFonts w:ascii="Verdana" w:eastAsia="Times New Roman" w:hAnsi="Verdana" w:cs="Times New Roman"/>
          <w:b/>
          <w:noProof/>
          <w:lang w:val="en-US"/>
        </w:rPr>
        <w:t>WESTMINSTER CITY COUNCIL</w:t>
      </w:r>
    </w:p>
    <w:p w14:paraId="3C10CBF6" w14:textId="77777777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 w:rsidRPr="00E446A8">
        <w:rPr>
          <w:rFonts w:ascii="Verdana" w:eastAsia="Times New Roman" w:hAnsi="Verdana" w:cs="Times New Roman"/>
          <w:b/>
          <w:noProof/>
          <w:lang w:val="en-US"/>
        </w:rPr>
        <w:t>SCHOOLS FORU</w:t>
      </w:r>
      <w:r w:rsidRPr="00E07FB5">
        <w:rPr>
          <w:rFonts w:ascii="Verdana" w:eastAsia="Times New Roman" w:hAnsi="Verdana" w:cs="Times New Roman"/>
          <w:b/>
          <w:noProof/>
          <w:lang w:val="en-US"/>
        </w:rPr>
        <w:t>M 1</w:t>
      </w:r>
      <w:r w:rsidR="00E07FB5" w:rsidRPr="00E07FB5">
        <w:rPr>
          <w:rFonts w:ascii="Verdana" w:eastAsia="Times New Roman" w:hAnsi="Verdana" w:cs="Times New Roman"/>
          <w:b/>
          <w:noProof/>
          <w:lang w:val="en-US"/>
        </w:rPr>
        <w:t>6</w:t>
      </w:r>
      <w:r w:rsidRPr="00E07FB5">
        <w:rPr>
          <w:rFonts w:ascii="Verdana" w:eastAsia="Times New Roman" w:hAnsi="Verdana" w:cs="Times New Roman"/>
          <w:b/>
          <w:noProof/>
          <w:vertAlign w:val="superscript"/>
          <w:lang w:val="en-US"/>
        </w:rPr>
        <w:t>TH</w:t>
      </w:r>
      <w:r w:rsidRPr="00E07FB5">
        <w:rPr>
          <w:rFonts w:ascii="Verdana" w:eastAsia="Times New Roman" w:hAnsi="Verdana" w:cs="Times New Roman"/>
          <w:b/>
          <w:noProof/>
          <w:lang w:val="en-US"/>
        </w:rPr>
        <w:t xml:space="preserve"> </w:t>
      </w:r>
      <w:r w:rsidR="00E07FB5" w:rsidRPr="00E07FB5">
        <w:rPr>
          <w:rFonts w:ascii="Verdana" w:eastAsia="Times New Roman" w:hAnsi="Verdana" w:cs="Times New Roman"/>
          <w:b/>
          <w:noProof/>
          <w:lang w:val="en-US"/>
        </w:rPr>
        <w:t xml:space="preserve">JANUARY </w:t>
      </w:r>
      <w:r w:rsidRPr="00E07FB5">
        <w:rPr>
          <w:rFonts w:ascii="Verdana" w:eastAsia="Times New Roman" w:hAnsi="Verdana" w:cs="Times New Roman"/>
          <w:b/>
          <w:noProof/>
          <w:lang w:val="en-US"/>
        </w:rPr>
        <w:t>201</w:t>
      </w:r>
      <w:r w:rsidR="00E07FB5" w:rsidRPr="00E07FB5">
        <w:rPr>
          <w:rFonts w:ascii="Verdana" w:eastAsia="Times New Roman" w:hAnsi="Verdana" w:cs="Times New Roman"/>
          <w:b/>
          <w:noProof/>
          <w:lang w:val="en-US"/>
        </w:rPr>
        <w:t>7</w:t>
      </w:r>
    </w:p>
    <w:p w14:paraId="6B6D74B5" w14:textId="77777777" w:rsidR="00313646" w:rsidRPr="00E446A8" w:rsidRDefault="00313646" w:rsidP="001A7AF9">
      <w:pPr>
        <w:spacing w:line="360" w:lineRule="auto"/>
        <w:ind w:left="851" w:hanging="851"/>
        <w:jc w:val="center"/>
        <w:rPr>
          <w:rFonts w:ascii="Verdana" w:hAnsi="Verdana"/>
          <w:b/>
        </w:rPr>
      </w:pPr>
      <w:r w:rsidRPr="00E446A8">
        <w:rPr>
          <w:rFonts w:ascii="Verdana" w:hAnsi="Verdana"/>
          <w:b/>
        </w:rPr>
        <w:t>REPORT BY THE HEAD OF RESOURCES</w:t>
      </w:r>
    </w:p>
    <w:p w14:paraId="61232383" w14:textId="77777777" w:rsidR="00313646" w:rsidRPr="00E446A8" w:rsidRDefault="00915384" w:rsidP="001A7AF9">
      <w:pPr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DEDICATED SCHOOLS GRANT </w:t>
      </w:r>
      <w:r w:rsidR="00A42EFB">
        <w:rPr>
          <w:rFonts w:ascii="Verdana" w:hAnsi="Verdana"/>
          <w:b/>
        </w:rPr>
        <w:t xml:space="preserve">MONITORING </w:t>
      </w:r>
      <w:r>
        <w:rPr>
          <w:rFonts w:ascii="Verdana" w:hAnsi="Verdana"/>
          <w:b/>
        </w:rPr>
        <w:t>2016/</w:t>
      </w:r>
      <w:r w:rsidR="00313646" w:rsidRPr="00E446A8">
        <w:rPr>
          <w:rFonts w:ascii="Verdana" w:hAnsi="Verdana"/>
          <w:b/>
        </w:rPr>
        <w:t>17</w:t>
      </w:r>
    </w:p>
    <w:p w14:paraId="1C1637D4" w14:textId="77777777" w:rsidR="00313646" w:rsidRDefault="00313646" w:rsidP="001A7AF9">
      <w:pPr>
        <w:spacing w:line="360" w:lineRule="auto"/>
        <w:ind w:left="851" w:hanging="851"/>
        <w:jc w:val="both"/>
        <w:rPr>
          <w:rFonts w:ascii="Verdana" w:hAnsi="Verdana"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384" w14:paraId="2EBA4F12" w14:textId="77777777" w:rsidTr="00BF3AFE">
        <w:tc>
          <w:tcPr>
            <w:tcW w:w="9016" w:type="dxa"/>
          </w:tcPr>
          <w:p w14:paraId="1B686E53" w14:textId="77777777" w:rsidR="00915384" w:rsidRPr="008548B0" w:rsidRDefault="00915384" w:rsidP="001A7AF9">
            <w:pPr>
              <w:spacing w:line="360" w:lineRule="auto"/>
              <w:ind w:left="851" w:hanging="851"/>
              <w:rPr>
                <w:rFonts w:ascii="Verdana" w:hAnsi="Verdana" w:cs="Calibri"/>
                <w:b/>
              </w:rPr>
            </w:pPr>
            <w:r w:rsidRPr="005C6880">
              <w:rPr>
                <w:rFonts w:ascii="Verdana" w:hAnsi="Verdana" w:cs="Calibri"/>
                <w:b/>
              </w:rPr>
              <w:t>Purpose</w:t>
            </w:r>
            <w:r w:rsidRPr="008548B0">
              <w:rPr>
                <w:rFonts w:ascii="Verdana" w:hAnsi="Verdana" w:cs="Calibri"/>
                <w:b/>
              </w:rPr>
              <w:t xml:space="preserve"> of the report</w:t>
            </w:r>
          </w:p>
          <w:p w14:paraId="105D235F" w14:textId="77777777" w:rsidR="00915384" w:rsidRDefault="00915384" w:rsidP="0090441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report informs Scho</w:t>
            </w:r>
            <w:r w:rsidR="00057BAE">
              <w:rPr>
                <w:sz w:val="23"/>
                <w:szCs w:val="23"/>
              </w:rPr>
              <w:t>ols Forum of the current 2016/</w:t>
            </w:r>
            <w:r>
              <w:rPr>
                <w:sz w:val="23"/>
                <w:szCs w:val="23"/>
              </w:rPr>
              <w:t xml:space="preserve">17 DSG grant allocation and provides a projection of the year end position and </w:t>
            </w:r>
            <w:r w:rsidR="006F6945">
              <w:rPr>
                <w:sz w:val="23"/>
                <w:szCs w:val="23"/>
              </w:rPr>
              <w:t>likely carry forward into 2017/</w:t>
            </w:r>
            <w:r>
              <w:rPr>
                <w:sz w:val="23"/>
                <w:szCs w:val="23"/>
              </w:rPr>
              <w:t>18.</w:t>
            </w:r>
          </w:p>
          <w:p w14:paraId="6022B659" w14:textId="77777777" w:rsidR="00915384" w:rsidRPr="00915384" w:rsidRDefault="00915384" w:rsidP="001A7AF9">
            <w:pPr>
              <w:pStyle w:val="Default"/>
              <w:spacing w:line="360" w:lineRule="auto"/>
              <w:ind w:left="851" w:hanging="851"/>
              <w:jc w:val="right"/>
              <w:rPr>
                <w:b/>
                <w:sz w:val="23"/>
                <w:szCs w:val="23"/>
              </w:rPr>
            </w:pPr>
            <w:r w:rsidRPr="00915384">
              <w:rPr>
                <w:b/>
                <w:sz w:val="23"/>
                <w:szCs w:val="23"/>
              </w:rPr>
              <w:t>FOR INFORMATION</w:t>
            </w:r>
          </w:p>
        </w:tc>
      </w:tr>
    </w:tbl>
    <w:p w14:paraId="3C783E1B" w14:textId="77777777" w:rsidR="00915384" w:rsidRDefault="00915384" w:rsidP="001A7AF9">
      <w:pPr>
        <w:spacing w:line="360" w:lineRule="auto"/>
        <w:ind w:left="851" w:hanging="851"/>
        <w:rPr>
          <w:rFonts w:ascii="Verdana" w:hAnsi="Verdana"/>
        </w:rPr>
      </w:pPr>
    </w:p>
    <w:p w14:paraId="6BF3601B" w14:textId="77777777" w:rsidR="00A42EFB" w:rsidRPr="00E446A8" w:rsidRDefault="00A42EFB" w:rsidP="001A7AF9">
      <w:pPr>
        <w:spacing w:line="360" w:lineRule="auto"/>
        <w:ind w:left="851" w:hanging="851"/>
        <w:rPr>
          <w:rFonts w:ascii="Verdana" w:hAnsi="Verdana"/>
        </w:rPr>
      </w:pPr>
    </w:p>
    <w:p w14:paraId="72BAE4E4" w14:textId="77777777" w:rsidR="00313646" w:rsidRPr="00E446A8" w:rsidRDefault="009F6804" w:rsidP="0090441C">
      <w:pPr>
        <w:pStyle w:val="Default"/>
        <w:numPr>
          <w:ilvl w:val="0"/>
          <w:numId w:val="1"/>
        </w:numPr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>Introduction</w:t>
      </w:r>
    </w:p>
    <w:p w14:paraId="06EBED0D" w14:textId="60233F0C" w:rsidR="00313646" w:rsidRDefault="00313646" w:rsidP="0090441C">
      <w:pPr>
        <w:pStyle w:val="ListParagraph"/>
        <w:numPr>
          <w:ilvl w:val="1"/>
          <w:numId w:val="2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E446A8">
        <w:rPr>
          <w:rFonts w:ascii="Verdana" w:hAnsi="Verdana"/>
        </w:rPr>
        <w:t xml:space="preserve">The </w:t>
      </w:r>
      <w:r w:rsidR="003A165A">
        <w:rPr>
          <w:rFonts w:ascii="Verdana" w:hAnsi="Verdana"/>
        </w:rPr>
        <w:t xml:space="preserve">total </w:t>
      </w:r>
      <w:r w:rsidR="0092687C">
        <w:rPr>
          <w:rFonts w:ascii="Verdana" w:hAnsi="Verdana"/>
        </w:rPr>
        <w:t>Dedicated Schools Grant (</w:t>
      </w:r>
      <w:r w:rsidRPr="00E446A8">
        <w:rPr>
          <w:rFonts w:ascii="Verdana" w:hAnsi="Verdana"/>
        </w:rPr>
        <w:t>DSG</w:t>
      </w:r>
      <w:r w:rsidR="0092687C">
        <w:rPr>
          <w:rFonts w:ascii="Verdana" w:hAnsi="Verdana"/>
        </w:rPr>
        <w:t>)</w:t>
      </w:r>
      <w:r w:rsidR="009D73D3">
        <w:rPr>
          <w:rFonts w:ascii="Verdana" w:hAnsi="Verdana"/>
        </w:rPr>
        <w:t xml:space="preserve"> allocation for 2016/</w:t>
      </w:r>
      <w:r w:rsidRPr="00E446A8">
        <w:rPr>
          <w:rFonts w:ascii="Verdana" w:hAnsi="Verdana"/>
        </w:rPr>
        <w:t xml:space="preserve">17 </w:t>
      </w:r>
      <w:r w:rsidR="003A165A">
        <w:rPr>
          <w:rFonts w:ascii="Verdana" w:hAnsi="Verdana"/>
        </w:rPr>
        <w:t>(based on the most recent information published by the Department for Education)</w:t>
      </w:r>
      <w:r w:rsidR="003A165A" w:rsidRPr="00E446A8">
        <w:rPr>
          <w:rFonts w:ascii="Verdana" w:hAnsi="Verdana"/>
        </w:rPr>
        <w:t xml:space="preserve"> </w:t>
      </w:r>
      <w:r w:rsidRPr="00E446A8">
        <w:rPr>
          <w:rFonts w:ascii="Verdana" w:hAnsi="Verdana"/>
        </w:rPr>
        <w:t>is £</w:t>
      </w:r>
      <w:r>
        <w:rPr>
          <w:rFonts w:ascii="Verdana" w:hAnsi="Verdana"/>
        </w:rPr>
        <w:t>8</w:t>
      </w:r>
      <w:r w:rsidR="00AA52F3">
        <w:rPr>
          <w:rFonts w:ascii="Verdana" w:hAnsi="Verdana"/>
        </w:rPr>
        <w:t>2</w:t>
      </w:r>
      <w:r w:rsidR="00864B72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="00AA52F3">
        <w:rPr>
          <w:rFonts w:ascii="Verdana" w:hAnsi="Verdana"/>
        </w:rPr>
        <w:t>4</w:t>
      </w:r>
      <w:r w:rsidR="00643C92">
        <w:rPr>
          <w:rFonts w:ascii="Verdana" w:hAnsi="Verdana"/>
        </w:rPr>
        <w:t>4</w:t>
      </w:r>
      <w:r w:rsidR="00864B72">
        <w:rPr>
          <w:rFonts w:ascii="Verdana" w:hAnsi="Verdana"/>
        </w:rPr>
        <w:t>m</w:t>
      </w:r>
      <w:r w:rsidR="003A165A">
        <w:rPr>
          <w:rFonts w:ascii="Verdana" w:hAnsi="Verdana"/>
        </w:rPr>
        <w:t xml:space="preserve"> before adjustments</w:t>
      </w:r>
      <w:r w:rsidR="000D60A4">
        <w:rPr>
          <w:rFonts w:ascii="Verdana" w:hAnsi="Verdana"/>
        </w:rPr>
        <w:t xml:space="preserve">.  </w:t>
      </w:r>
      <w:r w:rsidRPr="00E446A8">
        <w:rPr>
          <w:rFonts w:ascii="Verdana" w:hAnsi="Verdana"/>
        </w:rPr>
        <w:t xml:space="preserve">This represents a reduction </w:t>
      </w:r>
      <w:r w:rsidRPr="00DA25A7">
        <w:rPr>
          <w:rFonts w:ascii="Verdana" w:hAnsi="Verdana"/>
        </w:rPr>
        <w:t>of £</w:t>
      </w:r>
      <w:r w:rsidR="00AA52F3" w:rsidRPr="00DA25A7">
        <w:rPr>
          <w:rFonts w:ascii="Verdana" w:hAnsi="Verdana"/>
        </w:rPr>
        <w:t>9</w:t>
      </w:r>
      <w:r w:rsidR="00DA25A7" w:rsidRPr="00DA25A7">
        <w:rPr>
          <w:rFonts w:ascii="Verdana" w:hAnsi="Verdana"/>
        </w:rPr>
        <w:t>8</w:t>
      </w:r>
      <w:r w:rsidR="00AA52F3" w:rsidRPr="00DA25A7">
        <w:rPr>
          <w:rFonts w:ascii="Verdana" w:hAnsi="Verdana"/>
        </w:rPr>
        <w:t>8</w:t>
      </w:r>
      <w:r w:rsidR="0092687C" w:rsidRPr="00DA25A7">
        <w:rPr>
          <w:rFonts w:ascii="Verdana" w:hAnsi="Verdana"/>
        </w:rPr>
        <w:t>k</w:t>
      </w:r>
      <w:r w:rsidRPr="00DA25A7">
        <w:rPr>
          <w:rFonts w:ascii="Verdana" w:hAnsi="Verdana"/>
        </w:rPr>
        <w:t xml:space="preserve"> </w:t>
      </w:r>
      <w:r w:rsidR="00FB11AB" w:rsidRPr="00DA25A7">
        <w:rPr>
          <w:rFonts w:ascii="Verdana" w:hAnsi="Verdana"/>
        </w:rPr>
        <w:t>from</w:t>
      </w:r>
      <w:r w:rsidR="00FB11AB">
        <w:rPr>
          <w:rFonts w:ascii="Verdana" w:hAnsi="Verdana"/>
        </w:rPr>
        <w:t xml:space="preserve"> </w:t>
      </w:r>
      <w:r w:rsidR="00643C92">
        <w:rPr>
          <w:rFonts w:ascii="Verdana" w:hAnsi="Verdana"/>
        </w:rPr>
        <w:t xml:space="preserve">the </w:t>
      </w:r>
      <w:r w:rsidR="00FB11AB">
        <w:rPr>
          <w:rFonts w:ascii="Verdana" w:hAnsi="Verdana"/>
        </w:rPr>
        <w:t>data reported to Schools Forum in October 2016</w:t>
      </w:r>
      <w:r>
        <w:rPr>
          <w:rFonts w:ascii="Verdana" w:hAnsi="Verdana"/>
        </w:rPr>
        <w:t>.</w:t>
      </w:r>
    </w:p>
    <w:p w14:paraId="0D604C45" w14:textId="77777777" w:rsidR="00313646" w:rsidRPr="00E446A8" w:rsidRDefault="00313646" w:rsidP="0090441C">
      <w:pPr>
        <w:spacing w:line="360" w:lineRule="auto"/>
        <w:ind w:left="851" w:hanging="851"/>
        <w:jc w:val="both"/>
        <w:rPr>
          <w:rFonts w:ascii="Verdana" w:hAnsi="Verdana"/>
        </w:rPr>
      </w:pPr>
    </w:p>
    <w:p w14:paraId="425AAFFC" w14:textId="77777777" w:rsidR="00313646" w:rsidRPr="00E446A8" w:rsidRDefault="000A2441" w:rsidP="0090441C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2016/</w:t>
      </w:r>
      <w:r w:rsidR="00313646" w:rsidRPr="00E446A8">
        <w:rPr>
          <w:rFonts w:ascii="Verdana" w:hAnsi="Verdana"/>
          <w:b/>
        </w:rPr>
        <w:t xml:space="preserve">17 DSG </w:t>
      </w:r>
      <w:r w:rsidR="00E278C9">
        <w:rPr>
          <w:rFonts w:ascii="Verdana" w:hAnsi="Verdana"/>
          <w:b/>
        </w:rPr>
        <w:t>allocation</w:t>
      </w:r>
    </w:p>
    <w:p w14:paraId="2C1E23E0" w14:textId="4865DBD5" w:rsidR="00313646" w:rsidRDefault="00313646" w:rsidP="0090441C">
      <w:pPr>
        <w:spacing w:line="360" w:lineRule="auto"/>
        <w:ind w:left="851" w:hanging="851"/>
        <w:jc w:val="both"/>
        <w:rPr>
          <w:rFonts w:ascii="Verdana" w:hAnsi="Verdana"/>
        </w:rPr>
      </w:pPr>
      <w:r w:rsidRPr="00E446A8">
        <w:rPr>
          <w:rFonts w:ascii="Verdana" w:hAnsi="Verdana"/>
        </w:rPr>
        <w:t>2.1</w:t>
      </w:r>
      <w:r w:rsidRPr="00E446A8">
        <w:rPr>
          <w:rFonts w:ascii="Verdana" w:hAnsi="Verdana"/>
        </w:rPr>
        <w:tab/>
      </w:r>
      <w:r w:rsidR="00643C92">
        <w:rPr>
          <w:rFonts w:ascii="Verdana" w:hAnsi="Verdana"/>
        </w:rPr>
        <w:t xml:space="preserve">A </w:t>
      </w:r>
      <w:r w:rsidRPr="00E446A8">
        <w:rPr>
          <w:rFonts w:ascii="Verdana" w:hAnsi="Verdana"/>
        </w:rPr>
        <w:t>DSG allocation of £</w:t>
      </w:r>
      <w:r w:rsidR="00A64EC4">
        <w:rPr>
          <w:rFonts w:ascii="Verdana" w:hAnsi="Verdana"/>
        </w:rPr>
        <w:t>83</w:t>
      </w:r>
      <w:r w:rsidR="00864B72">
        <w:rPr>
          <w:rFonts w:ascii="Verdana" w:hAnsi="Verdana"/>
        </w:rPr>
        <w:t>.</w:t>
      </w:r>
      <w:r w:rsidR="00AA52F3">
        <w:rPr>
          <w:rFonts w:ascii="Verdana" w:hAnsi="Verdana"/>
        </w:rPr>
        <w:t>432</w:t>
      </w:r>
      <w:r w:rsidR="00864B72">
        <w:rPr>
          <w:rFonts w:ascii="Verdana" w:hAnsi="Verdana"/>
        </w:rPr>
        <w:t>m</w:t>
      </w:r>
      <w:r w:rsidR="00643C92">
        <w:rPr>
          <w:rFonts w:ascii="Verdana" w:hAnsi="Verdana"/>
        </w:rPr>
        <w:t xml:space="preserve"> was</w:t>
      </w:r>
      <w:r w:rsidR="00643C92" w:rsidRPr="00E446A8">
        <w:rPr>
          <w:rFonts w:ascii="Verdana" w:hAnsi="Verdana"/>
        </w:rPr>
        <w:t xml:space="preserve"> </w:t>
      </w:r>
      <w:r w:rsidR="00643C92">
        <w:rPr>
          <w:rFonts w:ascii="Verdana" w:hAnsi="Verdana"/>
        </w:rPr>
        <w:t xml:space="preserve">reported to Schools Forum </w:t>
      </w:r>
      <w:r w:rsidR="00FA1B46">
        <w:rPr>
          <w:rFonts w:ascii="Verdana" w:hAnsi="Verdana"/>
        </w:rPr>
        <w:t>i</w:t>
      </w:r>
      <w:r w:rsidR="00643C92" w:rsidRPr="00E446A8">
        <w:rPr>
          <w:rFonts w:ascii="Verdana" w:hAnsi="Verdana"/>
        </w:rPr>
        <w:t xml:space="preserve">n </w:t>
      </w:r>
      <w:r w:rsidR="00A64EC4">
        <w:rPr>
          <w:rFonts w:ascii="Verdana" w:hAnsi="Verdana"/>
        </w:rPr>
        <w:t>October</w:t>
      </w:r>
      <w:r w:rsidR="00643C92">
        <w:rPr>
          <w:rFonts w:ascii="Verdana" w:hAnsi="Verdana"/>
        </w:rPr>
        <w:t xml:space="preserve"> 2016</w:t>
      </w:r>
      <w:r w:rsidR="000D60A4">
        <w:rPr>
          <w:rFonts w:ascii="Verdana" w:hAnsi="Verdana"/>
        </w:rPr>
        <w:t xml:space="preserve">.  </w:t>
      </w:r>
      <w:r w:rsidR="00AA52F3">
        <w:rPr>
          <w:rFonts w:ascii="Verdana" w:hAnsi="Verdana"/>
        </w:rPr>
        <w:t xml:space="preserve">Since </w:t>
      </w:r>
      <w:r w:rsidR="00643C92">
        <w:rPr>
          <w:rFonts w:ascii="Verdana" w:hAnsi="Verdana"/>
        </w:rPr>
        <w:t>that report, the</w:t>
      </w:r>
      <w:r w:rsidR="00AA52F3">
        <w:rPr>
          <w:rFonts w:ascii="Verdana" w:hAnsi="Verdana"/>
        </w:rPr>
        <w:t xml:space="preserve"> </w:t>
      </w:r>
      <w:r w:rsidR="00643C92">
        <w:rPr>
          <w:rFonts w:ascii="Verdana" w:hAnsi="Verdana"/>
        </w:rPr>
        <w:t>Department for Education</w:t>
      </w:r>
      <w:r w:rsidR="00AA52F3">
        <w:rPr>
          <w:rFonts w:ascii="Verdana" w:hAnsi="Verdana"/>
        </w:rPr>
        <w:t xml:space="preserve"> have adjusted the funding to account for </w:t>
      </w:r>
      <w:r w:rsidR="00643C92">
        <w:rPr>
          <w:rFonts w:ascii="Verdana" w:hAnsi="Verdana"/>
        </w:rPr>
        <w:t xml:space="preserve">the conversion of </w:t>
      </w:r>
      <w:r w:rsidR="00AA52F3">
        <w:rPr>
          <w:rFonts w:ascii="Verdana" w:hAnsi="Verdana"/>
        </w:rPr>
        <w:t xml:space="preserve">Paddington Green </w:t>
      </w:r>
      <w:r w:rsidR="00643C92">
        <w:rPr>
          <w:rFonts w:ascii="Verdana" w:hAnsi="Verdana"/>
        </w:rPr>
        <w:t>School to</w:t>
      </w:r>
      <w:r w:rsidR="00AA52F3">
        <w:rPr>
          <w:rFonts w:ascii="Verdana" w:hAnsi="Verdana"/>
        </w:rPr>
        <w:t xml:space="preserve"> an </w:t>
      </w:r>
      <w:r w:rsidR="00643C92">
        <w:rPr>
          <w:rFonts w:ascii="Verdana" w:hAnsi="Verdana"/>
        </w:rPr>
        <w:t>a</w:t>
      </w:r>
      <w:r w:rsidR="00AA52F3">
        <w:rPr>
          <w:rFonts w:ascii="Verdana" w:hAnsi="Verdana"/>
        </w:rPr>
        <w:t>cademy</w:t>
      </w:r>
      <w:r w:rsidR="00A64EC4">
        <w:rPr>
          <w:rFonts w:ascii="Verdana" w:hAnsi="Verdana"/>
        </w:rPr>
        <w:t>,</w:t>
      </w:r>
      <w:r w:rsidR="00AA52F3">
        <w:rPr>
          <w:rFonts w:ascii="Verdana" w:hAnsi="Verdana"/>
        </w:rPr>
        <w:t xml:space="preserve"> on September 1</w:t>
      </w:r>
      <w:r w:rsidR="00643C92">
        <w:rPr>
          <w:rFonts w:ascii="Verdana" w:hAnsi="Verdana"/>
          <w:vertAlign w:val="superscript"/>
        </w:rPr>
        <w:t xml:space="preserve">st </w:t>
      </w:r>
      <w:r w:rsidR="00643C92">
        <w:rPr>
          <w:rFonts w:ascii="Verdana" w:hAnsi="Verdana"/>
        </w:rPr>
        <w:t>2016</w:t>
      </w:r>
      <w:r w:rsidR="00A64EC4">
        <w:rPr>
          <w:rFonts w:ascii="Verdana" w:hAnsi="Verdana"/>
        </w:rPr>
        <w:t>, reducing the DSG budget by £9</w:t>
      </w:r>
      <w:r w:rsidR="00DA25A7">
        <w:rPr>
          <w:rFonts w:ascii="Verdana" w:hAnsi="Verdana"/>
        </w:rPr>
        <w:t>8</w:t>
      </w:r>
      <w:r w:rsidR="00A64EC4">
        <w:rPr>
          <w:rFonts w:ascii="Verdana" w:hAnsi="Verdana"/>
        </w:rPr>
        <w:t xml:space="preserve">8k. This reduction in funding represents the pro rata funding allocation for the school, which has now been passed to the Academy Trust. </w:t>
      </w:r>
    </w:p>
    <w:p w14:paraId="5C2F8DDD" w14:textId="02AABBF8" w:rsidR="00313646" w:rsidRPr="00E446A8" w:rsidRDefault="00AA52F3" w:rsidP="0090441C">
      <w:p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</w:r>
      <w:r w:rsidR="00325310">
        <w:rPr>
          <w:rFonts w:ascii="Verdana" w:hAnsi="Verdana"/>
        </w:rPr>
        <w:t>Table 1</w:t>
      </w:r>
      <w:r w:rsidR="00313646" w:rsidRPr="00E446A8">
        <w:rPr>
          <w:rFonts w:ascii="Verdana" w:hAnsi="Verdana"/>
        </w:rPr>
        <w:t xml:space="preserve"> below shows a comparison between the DSG allocation as repor</w:t>
      </w:r>
      <w:r w:rsidR="00643C92">
        <w:rPr>
          <w:rFonts w:ascii="Verdana" w:hAnsi="Verdana"/>
        </w:rPr>
        <w:t xml:space="preserve">ted to Schools Forum in </w:t>
      </w:r>
      <w:r w:rsidR="00A64EC4">
        <w:rPr>
          <w:rFonts w:ascii="Verdana" w:hAnsi="Verdana"/>
        </w:rPr>
        <w:t>October</w:t>
      </w:r>
      <w:r w:rsidR="00EF33B3">
        <w:rPr>
          <w:rFonts w:ascii="Verdana" w:hAnsi="Verdana"/>
        </w:rPr>
        <w:t xml:space="preserve"> 2016</w:t>
      </w:r>
      <w:r w:rsidR="00643C92">
        <w:rPr>
          <w:rFonts w:ascii="Verdana" w:hAnsi="Verdana"/>
        </w:rPr>
        <w:t xml:space="preserve"> against the </w:t>
      </w:r>
      <w:r w:rsidR="00B72F49">
        <w:rPr>
          <w:rFonts w:ascii="Verdana" w:hAnsi="Verdana"/>
        </w:rPr>
        <w:t>January</w:t>
      </w:r>
      <w:r w:rsidR="00A64EC4">
        <w:rPr>
          <w:rFonts w:ascii="Verdana" w:hAnsi="Verdana"/>
        </w:rPr>
        <w:t xml:space="preserve"> 201</w:t>
      </w:r>
      <w:r w:rsidR="00E436C1">
        <w:rPr>
          <w:rFonts w:ascii="Verdana" w:hAnsi="Verdana"/>
        </w:rPr>
        <w:t>7</w:t>
      </w:r>
      <w:r w:rsidR="00643C92">
        <w:rPr>
          <w:rFonts w:ascii="Verdana" w:hAnsi="Verdana"/>
        </w:rPr>
        <w:t xml:space="preserve"> position</w:t>
      </w:r>
      <w:r w:rsidR="000D60A4">
        <w:rPr>
          <w:rFonts w:ascii="Verdana" w:hAnsi="Verdana"/>
        </w:rPr>
        <w:t xml:space="preserve">.  </w:t>
      </w:r>
    </w:p>
    <w:p w14:paraId="276233AC" w14:textId="77777777" w:rsidR="00313646" w:rsidRPr="00325310" w:rsidRDefault="00313646" w:rsidP="0090441C">
      <w:pPr>
        <w:ind w:left="851" w:hanging="851"/>
        <w:jc w:val="both"/>
        <w:rPr>
          <w:rFonts w:ascii="Verdana" w:hAnsi="Verdana"/>
          <w:b/>
        </w:rPr>
      </w:pP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89"/>
        <w:gridCol w:w="1672"/>
        <w:gridCol w:w="1685"/>
        <w:gridCol w:w="1857"/>
      </w:tblGrid>
      <w:tr w:rsidR="00313646" w:rsidRPr="00A23B34" w14:paraId="10DCE3CA" w14:textId="77777777" w:rsidTr="00643C92">
        <w:trPr>
          <w:trHeight w:val="966"/>
          <w:jc w:val="center"/>
        </w:trPr>
        <w:tc>
          <w:tcPr>
            <w:tcW w:w="4089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D6525E5" w14:textId="77777777" w:rsidR="00313646" w:rsidRPr="00643C92" w:rsidRDefault="00643C92" w:rsidP="001A7AF9">
            <w:pPr>
              <w:ind w:left="851" w:hanging="851"/>
              <w:rPr>
                <w:rFonts w:eastAsia="Times New Roman" w:cstheme="minorHAnsi"/>
                <w:b/>
                <w:color w:val="000000"/>
                <w:sz w:val="28"/>
                <w:szCs w:val="20"/>
                <w:lang w:eastAsia="en-GB"/>
              </w:rPr>
            </w:pPr>
            <w:r w:rsidRPr="00643C92">
              <w:rPr>
                <w:rFonts w:eastAsia="Times New Roman" w:cstheme="minorHAnsi"/>
                <w:b/>
                <w:color w:val="000000"/>
                <w:sz w:val="28"/>
                <w:szCs w:val="20"/>
                <w:lang w:eastAsia="en-GB"/>
              </w:rPr>
              <w:t>Table 1</w:t>
            </w:r>
          </w:p>
        </w:tc>
        <w:tc>
          <w:tcPr>
            <w:tcW w:w="167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BCF48" w14:textId="77777777" w:rsidR="00313646" w:rsidRPr="00A23B34" w:rsidRDefault="00313646" w:rsidP="001A7AF9">
            <w:pPr>
              <w:ind w:left="851" w:hanging="851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  <w:t>2016/2017 DSG</w:t>
            </w:r>
          </w:p>
          <w:p w14:paraId="3EFBD832" w14:textId="77163758" w:rsidR="00313646" w:rsidRPr="00A23B34" w:rsidRDefault="00A64EC4" w:rsidP="001A7AF9">
            <w:pPr>
              <w:ind w:left="851" w:hanging="851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168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1C43D" w14:textId="77777777" w:rsidR="00313646" w:rsidRPr="00A23B34" w:rsidRDefault="00313646" w:rsidP="001A7AF9">
            <w:pPr>
              <w:ind w:left="851" w:hanging="851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n-GB"/>
              </w:rPr>
              <w:t>Change</w:t>
            </w:r>
          </w:p>
        </w:tc>
        <w:tc>
          <w:tcPr>
            <w:tcW w:w="1857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23C56" w14:textId="77777777" w:rsidR="00313646" w:rsidRPr="00A23B34" w:rsidRDefault="00313646" w:rsidP="001A7AF9">
            <w:pPr>
              <w:ind w:left="851" w:hanging="851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  <w:t>2016/2017 DSG</w:t>
            </w:r>
          </w:p>
          <w:p w14:paraId="2E01A9D4" w14:textId="7466ED45" w:rsidR="00313646" w:rsidRPr="00A23B34" w:rsidRDefault="00A64EC4" w:rsidP="001A7AF9">
            <w:pPr>
              <w:ind w:left="851" w:hanging="851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n-GB"/>
              </w:rPr>
              <w:t>January</w:t>
            </w:r>
          </w:p>
        </w:tc>
      </w:tr>
      <w:tr w:rsidR="00096116" w:rsidRPr="00A23B34" w14:paraId="77AF7ECB" w14:textId="77777777" w:rsidTr="00AA52F3">
        <w:trPr>
          <w:trHeight w:val="225"/>
          <w:jc w:val="center"/>
        </w:trPr>
        <w:tc>
          <w:tcPr>
            <w:tcW w:w="40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B7196" w14:textId="77777777" w:rsidR="00096116" w:rsidRPr="00A23B34" w:rsidRDefault="00096116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1399F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6C5018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97F90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313646" w:rsidRPr="00A23B34" w14:paraId="626E423C" w14:textId="77777777" w:rsidTr="00AA52F3">
        <w:trPr>
          <w:trHeight w:val="225"/>
          <w:jc w:val="center"/>
        </w:trPr>
        <w:tc>
          <w:tcPr>
            <w:tcW w:w="40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01687" w14:textId="77777777" w:rsidR="00313646" w:rsidRPr="00A23B34" w:rsidRDefault="00313646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CF85B" w14:textId="77777777" w:rsidR="00313646" w:rsidRPr="00A23B34" w:rsidRDefault="0031364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0A78F" w14:textId="77777777" w:rsidR="00313646" w:rsidRPr="00A23B34" w:rsidRDefault="00313646" w:rsidP="00DB045E">
            <w:pPr>
              <w:ind w:left="463" w:hanging="463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8CD06" w14:textId="77777777" w:rsidR="00313646" w:rsidRPr="00A23B34" w:rsidRDefault="0031364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  <w:t>£’000</w:t>
            </w:r>
          </w:p>
        </w:tc>
      </w:tr>
      <w:tr w:rsidR="00096116" w:rsidRPr="00A23B34" w14:paraId="4C103EDD" w14:textId="77777777" w:rsidTr="00AA52F3">
        <w:trPr>
          <w:trHeight w:val="225"/>
          <w:jc w:val="center"/>
        </w:trPr>
        <w:tc>
          <w:tcPr>
            <w:tcW w:w="40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FD6BB" w14:textId="77777777" w:rsidR="00096116" w:rsidRPr="00A23B34" w:rsidRDefault="00096116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DA318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69D6C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1F993" w14:textId="77777777" w:rsidR="00096116" w:rsidRPr="00A23B34" w:rsidRDefault="00096116" w:rsidP="00DB045E">
            <w:pPr>
              <w:ind w:left="463" w:hanging="463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6753C997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648828C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Early Years Pupil Funding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6C4FBA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10,158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DF79B8D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172E30" w14:textId="77777777" w:rsidR="00AA52F3" w:rsidRPr="0049423D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9423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10,158 </w:t>
            </w:r>
          </w:p>
        </w:tc>
      </w:tr>
      <w:tr w:rsidR="00AA52F3" w:rsidRPr="00A23B34" w14:paraId="5EB0B916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1469A443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2YO Funding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3CF623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1,171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35F81447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2EAD08" w14:textId="77777777" w:rsidR="00AA52F3" w:rsidRPr="0049423D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9423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1,171 </w:t>
            </w:r>
          </w:p>
        </w:tc>
      </w:tr>
      <w:tr w:rsidR="00AA52F3" w:rsidRPr="00A23B34" w14:paraId="08972698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3CB96F23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Early Years Pupil Premium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0E96C0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5E1377C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1A50B6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AA52F3" w:rsidRPr="00A23B34" w14:paraId="4C257B63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9B04BD8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Early Years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B5A60E7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11,438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5446A0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A4DFA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11,438</w:t>
            </w:r>
          </w:p>
        </w:tc>
      </w:tr>
      <w:tr w:rsidR="00AA52F3" w:rsidRPr="00A23B34" w14:paraId="58A5CFB6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54FB5DC1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A48985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5E084825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EC4A2C8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091B97FB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C1E5919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Schools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34D0812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112,807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D3B7B46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F4F304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112,807 </w:t>
            </w:r>
          </w:p>
        </w:tc>
      </w:tr>
      <w:tr w:rsidR="00AA52F3" w:rsidRPr="00A23B34" w14:paraId="4F4F4596" w14:textId="77777777" w:rsidTr="00AA52F3">
        <w:trPr>
          <w:trHeight w:val="285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02A21C27" w14:textId="60094045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NRA Cash Adjustment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01EBED7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568BFA33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30A5AEE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AA52F3" w:rsidRPr="00A23B34" w14:paraId="1C651735" w14:textId="77777777" w:rsidTr="00AA52F3">
        <w:trPr>
          <w:trHeight w:val="285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F2D5F43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Academy Recoupment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AAC6A06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- 63,229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36C5C78" w14:textId="75B25FA9" w:rsidR="00AA52F3" w:rsidRPr="00A23B34" w:rsidRDefault="00AA52F3" w:rsidP="00435882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- 98</w:t>
            </w:r>
            <w:r w:rsidR="0043588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F243DD6" w14:textId="4098F704" w:rsidR="00AA52F3" w:rsidRPr="00A23B34" w:rsidRDefault="00AA52F3" w:rsidP="00435882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- 64,21</w:t>
            </w:r>
            <w:r w:rsidR="0043588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52F3" w:rsidRPr="00A23B34" w14:paraId="1A4E94AD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D380546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Schools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92F310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49,628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279019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3F8142" w14:textId="38343F61" w:rsidR="00AA52F3" w:rsidRPr="00A23B34" w:rsidRDefault="00AA52F3" w:rsidP="00435882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48,6</w:t>
            </w:r>
            <w:r w:rsidR="004358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A52F3" w:rsidRPr="00A23B34" w14:paraId="0C1F562B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53AA6034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A397CF0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A7AD90F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E5CE1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087AAB0F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93969FE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High Needs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AA3FBDC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24,230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2001DE72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BF85BF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24,230 </w:t>
            </w:r>
          </w:p>
        </w:tc>
      </w:tr>
      <w:tr w:rsidR="00AA52F3" w:rsidRPr="00A23B34" w14:paraId="658E2814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5011A8B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Deductions to High Needs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6642AE3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- 1,891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7BCE46A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379DFDE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- 1,891 </w:t>
            </w:r>
          </w:p>
        </w:tc>
      </w:tr>
      <w:tr w:rsidR="00AA52F3" w:rsidRPr="00A23B34" w14:paraId="25A5C192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19A47EB4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High Needs Block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69D8765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22,339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74601CE2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640F939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22,339 </w:t>
            </w:r>
          </w:p>
        </w:tc>
      </w:tr>
      <w:tr w:rsidR="00AA52F3" w:rsidRPr="00A23B34" w14:paraId="6CFD898D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2FFCAEA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A185AC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35F9A73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5B507E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7D66777E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5592D57D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Additions/Deductions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D151292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2C76560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CF7FC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20B74275" w14:textId="77777777" w:rsidTr="00AA52F3">
        <w:trPr>
          <w:trHeight w:val="285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5F031A6D" w14:textId="77777777" w:rsidR="00AA52F3" w:rsidRPr="00A23B34" w:rsidRDefault="00AA52F3" w:rsidP="00DB045E">
            <w:pPr>
              <w:ind w:left="463"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NQT Funding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519B8F8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27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6D9AEC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11DF7B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27 </w:t>
            </w:r>
          </w:p>
        </w:tc>
      </w:tr>
      <w:tr w:rsidR="00AA52F3" w:rsidRPr="00A23B34" w14:paraId="6541A861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317D5500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Additions/Deductions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032BA5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27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25227CAF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161573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27 </w:t>
            </w:r>
          </w:p>
        </w:tc>
      </w:tr>
      <w:tr w:rsidR="00AA52F3" w:rsidRPr="00A23B34" w14:paraId="5ECC650E" w14:textId="77777777" w:rsidTr="00AA52F3">
        <w:trPr>
          <w:trHeight w:val="285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2E575A5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7DEFDB4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20B7B62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2D41F95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0CA31C7A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24DA054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DSG Allocation 2015/2016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70C92F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83,432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86F6035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524186" w:rsidRPr="00A23B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CA8D80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82,444 </w:t>
            </w:r>
          </w:p>
        </w:tc>
      </w:tr>
      <w:tr w:rsidR="00AA52F3" w:rsidRPr="00A23B34" w14:paraId="5014C094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88837E7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CD592F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3874568A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28BE2D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28979D80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472CCDC0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Adjustments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CDE0C61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D8D9F9C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30EA42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52F3" w:rsidRPr="00A23B34" w14:paraId="4CD05258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5B8201D4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Prior Year Early Years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58D030D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- 400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2DBAC5D1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143B053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- 400</w:t>
            </w:r>
          </w:p>
        </w:tc>
      </w:tr>
      <w:tr w:rsidR="00AA52F3" w:rsidRPr="00A23B34" w14:paraId="13BBF188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6EF3CCE9" w14:textId="77777777" w:rsidR="00AA52F3" w:rsidRPr="00A23B34" w:rsidRDefault="00AA52F3" w:rsidP="00DB045E">
            <w:pPr>
              <w:ind w:left="463" w:firstLineChars="212" w:firstLine="42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Copyright Licensing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A0909C6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- 103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7C89F9C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6A003BC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- 103</w:t>
            </w:r>
          </w:p>
        </w:tc>
      </w:tr>
      <w:tr w:rsidR="00AA52F3" w:rsidRPr="00A23B34" w14:paraId="603C4699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2C2DA4A8" w14:textId="77777777" w:rsidR="00AA52F3" w:rsidRPr="00A23B34" w:rsidRDefault="00AA52F3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Available Funds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E1287FC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82,929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57F7CF46" w14:textId="77777777" w:rsidR="00AA52F3" w:rsidRPr="00A23B34" w:rsidRDefault="00AA52F3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8D78CAA" w14:textId="77777777" w:rsidR="00AA52F3" w:rsidRPr="00A23B34" w:rsidRDefault="00AA52F3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B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81,941</w:t>
            </w:r>
          </w:p>
        </w:tc>
      </w:tr>
      <w:tr w:rsidR="00313646" w:rsidRPr="00A23B34" w14:paraId="2DA89DEE" w14:textId="77777777" w:rsidTr="00AA52F3">
        <w:trPr>
          <w:trHeight w:val="300"/>
          <w:jc w:val="center"/>
        </w:trPr>
        <w:tc>
          <w:tcPr>
            <w:tcW w:w="4089" w:type="dxa"/>
            <w:shd w:val="clear" w:color="auto" w:fill="auto"/>
            <w:noWrap/>
            <w:vAlign w:val="bottom"/>
            <w:hideMark/>
          </w:tcPr>
          <w:p w14:paraId="036D4A8E" w14:textId="77777777" w:rsidR="00313646" w:rsidRPr="00A23B34" w:rsidRDefault="00313646" w:rsidP="00DB045E">
            <w:pPr>
              <w:ind w:left="463" w:hanging="46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2D1DD70" w14:textId="77777777" w:rsidR="00313646" w:rsidRPr="00A23B34" w:rsidRDefault="00313646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828DFD7" w14:textId="77777777" w:rsidR="00313646" w:rsidRPr="00A23B34" w:rsidRDefault="00313646" w:rsidP="00DB045E">
            <w:pPr>
              <w:pStyle w:val="ListParagraph"/>
              <w:ind w:left="463" w:hanging="463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1FFFE3" w14:textId="77777777" w:rsidR="00313646" w:rsidRPr="00A23B34" w:rsidRDefault="00313646" w:rsidP="00DB045E">
            <w:pPr>
              <w:ind w:left="463" w:hanging="463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8BF6DAE" w14:textId="77777777" w:rsidR="003219F5" w:rsidRDefault="003219F5" w:rsidP="001A7AF9">
      <w:pPr>
        <w:ind w:left="851" w:hanging="851"/>
      </w:pPr>
    </w:p>
    <w:p w14:paraId="22DF8B39" w14:textId="77777777" w:rsidR="00313646" w:rsidRDefault="00313646" w:rsidP="001A7AF9">
      <w:pPr>
        <w:ind w:left="851" w:hanging="851"/>
      </w:pPr>
    </w:p>
    <w:p w14:paraId="603DF470" w14:textId="77777777" w:rsidR="00313646" w:rsidRPr="00277983" w:rsidRDefault="00313646" w:rsidP="0090441C">
      <w:pPr>
        <w:pStyle w:val="ListParagraph"/>
        <w:numPr>
          <w:ilvl w:val="0"/>
          <w:numId w:val="5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 xml:space="preserve">DSG </w:t>
      </w:r>
      <w:r w:rsidR="00E278C9">
        <w:rPr>
          <w:rFonts w:ascii="Verdana" w:hAnsi="Verdana"/>
          <w:b/>
        </w:rPr>
        <w:t>budgets and budget monitoring</w:t>
      </w:r>
    </w:p>
    <w:p w14:paraId="43D750B8" w14:textId="27551E4C" w:rsidR="00595769" w:rsidRPr="00277983" w:rsidRDefault="00595769" w:rsidP="0090441C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277983">
        <w:rPr>
          <w:rFonts w:ascii="Verdana" w:hAnsi="Verdana"/>
        </w:rPr>
        <w:t xml:space="preserve">Budgets have been </w:t>
      </w:r>
      <w:r w:rsidR="00716EF9">
        <w:rPr>
          <w:rFonts w:ascii="Verdana" w:hAnsi="Verdana"/>
        </w:rPr>
        <w:t xml:space="preserve">amended to </w:t>
      </w:r>
      <w:r w:rsidR="00D75290">
        <w:rPr>
          <w:rFonts w:ascii="Verdana" w:hAnsi="Verdana"/>
        </w:rPr>
        <w:t>take in to account:</w:t>
      </w:r>
      <w:r w:rsidRPr="00277983">
        <w:rPr>
          <w:rFonts w:ascii="Verdana" w:hAnsi="Verdana"/>
        </w:rPr>
        <w:t xml:space="preserve"> the change</w:t>
      </w:r>
      <w:r w:rsidR="00D75290">
        <w:rPr>
          <w:rFonts w:ascii="Verdana" w:hAnsi="Verdana"/>
        </w:rPr>
        <w:t xml:space="preserve"> in</w:t>
      </w:r>
      <w:r w:rsidRPr="00277983">
        <w:rPr>
          <w:rFonts w:ascii="Verdana" w:hAnsi="Verdana"/>
        </w:rPr>
        <w:t xml:space="preserve"> </w:t>
      </w:r>
      <w:r w:rsidR="00454D88">
        <w:rPr>
          <w:rFonts w:ascii="Verdana" w:hAnsi="Verdana"/>
        </w:rPr>
        <w:t>academy recoupment</w:t>
      </w:r>
      <w:r w:rsidR="00D75290">
        <w:rPr>
          <w:rFonts w:ascii="Verdana" w:hAnsi="Verdana"/>
        </w:rPr>
        <w:t>;</w:t>
      </w:r>
      <w:r w:rsidRPr="00277983">
        <w:rPr>
          <w:rFonts w:ascii="Verdana" w:hAnsi="Verdana"/>
        </w:rPr>
        <w:t xml:space="preserve"> prior year adjustment</w:t>
      </w:r>
      <w:r w:rsidR="00D75290">
        <w:rPr>
          <w:rFonts w:ascii="Verdana" w:hAnsi="Verdana"/>
        </w:rPr>
        <w:t>;</w:t>
      </w:r>
      <w:r w:rsidRPr="00277983">
        <w:rPr>
          <w:rFonts w:ascii="Verdana" w:hAnsi="Verdana"/>
        </w:rPr>
        <w:t xml:space="preserve"> and copyright licence deduction</w:t>
      </w:r>
      <w:r w:rsidR="00716EF9">
        <w:rPr>
          <w:rFonts w:ascii="Verdana" w:hAnsi="Verdana"/>
        </w:rPr>
        <w:t xml:space="preserve">. Consequently, the current budget position is </w:t>
      </w:r>
      <w:r w:rsidRPr="00277983">
        <w:rPr>
          <w:rFonts w:ascii="Verdana" w:hAnsi="Verdana"/>
        </w:rPr>
        <w:t>£</w:t>
      </w:r>
      <w:r>
        <w:rPr>
          <w:rFonts w:ascii="Verdana" w:hAnsi="Verdana"/>
        </w:rPr>
        <w:t>8</w:t>
      </w:r>
      <w:r w:rsidR="00454D88">
        <w:rPr>
          <w:rFonts w:ascii="Verdana" w:hAnsi="Verdana"/>
        </w:rPr>
        <w:t>1</w:t>
      </w:r>
      <w:r w:rsidR="00D75290">
        <w:rPr>
          <w:rFonts w:ascii="Verdana" w:hAnsi="Verdana"/>
        </w:rPr>
        <w:t>.</w:t>
      </w:r>
      <w:r w:rsidR="00454D88">
        <w:rPr>
          <w:rFonts w:ascii="Verdana" w:hAnsi="Verdana"/>
        </w:rPr>
        <w:t>941</w:t>
      </w:r>
      <w:r w:rsidR="00D75290">
        <w:rPr>
          <w:rFonts w:ascii="Verdana" w:hAnsi="Verdana"/>
        </w:rPr>
        <w:t>m.</w:t>
      </w:r>
    </w:p>
    <w:p w14:paraId="6A8E061A" w14:textId="7BCECD52" w:rsidR="003B75D9" w:rsidRDefault="00D90398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Table 2 below sets out t</w:t>
      </w:r>
      <w:r w:rsidR="00D75290">
        <w:rPr>
          <w:rFonts w:ascii="Verdana" w:hAnsi="Verdana"/>
        </w:rPr>
        <w:t>he current DSG out-t</w:t>
      </w:r>
      <w:r w:rsidR="00595769" w:rsidRPr="00277983">
        <w:rPr>
          <w:rFonts w:ascii="Verdana" w:hAnsi="Verdana"/>
        </w:rPr>
        <w:t>urn</w:t>
      </w:r>
      <w:r>
        <w:rPr>
          <w:rFonts w:ascii="Verdana" w:hAnsi="Verdana"/>
        </w:rPr>
        <w:t>. There is a forecast</w:t>
      </w:r>
      <w:r w:rsidR="00595769" w:rsidRPr="00277983">
        <w:rPr>
          <w:rFonts w:ascii="Verdana" w:hAnsi="Verdana"/>
        </w:rPr>
        <w:t xml:space="preserve"> </w:t>
      </w:r>
      <w:r w:rsidR="00325310">
        <w:rPr>
          <w:rFonts w:ascii="Verdana" w:hAnsi="Verdana"/>
        </w:rPr>
        <w:t>overspend of £</w:t>
      </w:r>
      <w:r w:rsidR="00D75290">
        <w:rPr>
          <w:rFonts w:ascii="Verdana" w:hAnsi="Verdana"/>
        </w:rPr>
        <w:t>1.</w:t>
      </w:r>
      <w:r w:rsidR="00CA0157">
        <w:rPr>
          <w:rFonts w:ascii="Verdana" w:hAnsi="Verdana"/>
        </w:rPr>
        <w:t>0</w:t>
      </w:r>
      <w:r w:rsidR="00454D88">
        <w:rPr>
          <w:rFonts w:ascii="Verdana" w:hAnsi="Verdana"/>
        </w:rPr>
        <w:t>14</w:t>
      </w:r>
      <w:r w:rsidR="00D75290">
        <w:rPr>
          <w:rFonts w:ascii="Verdana" w:hAnsi="Verdana"/>
        </w:rPr>
        <w:t>m</w:t>
      </w:r>
      <w:r w:rsidR="00716EF9">
        <w:rPr>
          <w:rFonts w:ascii="Verdana" w:hAnsi="Verdana"/>
        </w:rPr>
        <w:t xml:space="preserve"> which </w:t>
      </w:r>
      <w:r w:rsidR="004239A3">
        <w:rPr>
          <w:rFonts w:ascii="Verdana" w:hAnsi="Verdana"/>
        </w:rPr>
        <w:t>has been</w:t>
      </w:r>
      <w:r w:rsidR="00716EF9">
        <w:rPr>
          <w:rFonts w:ascii="Verdana" w:hAnsi="Verdana"/>
        </w:rPr>
        <w:t xml:space="preserve"> broken down by fundin</w:t>
      </w:r>
      <w:r w:rsidR="003B75D9">
        <w:rPr>
          <w:rFonts w:ascii="Verdana" w:hAnsi="Verdana"/>
        </w:rPr>
        <w:t>g block in the commentary below (3.3 – 3.5)</w:t>
      </w:r>
      <w:r w:rsidR="00716EF9">
        <w:rPr>
          <w:rFonts w:ascii="Verdana" w:hAnsi="Verdana"/>
        </w:rPr>
        <w:t xml:space="preserve">. </w:t>
      </w:r>
    </w:p>
    <w:p w14:paraId="6D2C9C05" w14:textId="77777777" w:rsidR="003B75D9" w:rsidRDefault="003B75D9" w:rsidP="003B75D9">
      <w:pPr>
        <w:pStyle w:val="ListParagraph"/>
        <w:spacing w:line="360" w:lineRule="auto"/>
        <w:ind w:left="851"/>
        <w:jc w:val="both"/>
        <w:rPr>
          <w:rFonts w:ascii="Verdana" w:hAnsi="Verdana"/>
        </w:rPr>
      </w:pPr>
    </w:p>
    <w:p w14:paraId="7088EF42" w14:textId="4D0F99D9" w:rsidR="00096116" w:rsidRPr="003B75D9" w:rsidRDefault="00595769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3B75D9">
        <w:rPr>
          <w:rFonts w:ascii="Verdana" w:hAnsi="Verdana"/>
          <w:b/>
          <w:i/>
        </w:rPr>
        <w:lastRenderedPageBreak/>
        <w:t>Early Years</w:t>
      </w:r>
      <w:r w:rsidR="00716EF9" w:rsidRPr="003B75D9">
        <w:rPr>
          <w:rFonts w:ascii="Verdana" w:hAnsi="Verdana"/>
          <w:b/>
          <w:i/>
        </w:rPr>
        <w:t xml:space="preserve"> (overspend of £2.002m)</w:t>
      </w:r>
    </w:p>
    <w:p w14:paraId="4B1E300F" w14:textId="77777777" w:rsidR="0042436C" w:rsidRPr="007F3343" w:rsidRDefault="00A04401" w:rsidP="00CE2FFE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7F3343">
        <w:rPr>
          <w:rFonts w:ascii="Verdana" w:hAnsi="Verdana"/>
        </w:rPr>
        <w:t>There is a</w:t>
      </w:r>
      <w:r w:rsidR="004239A3" w:rsidRPr="007F3343">
        <w:rPr>
          <w:rFonts w:ascii="Verdana" w:hAnsi="Verdana"/>
        </w:rPr>
        <w:t>n</w:t>
      </w:r>
      <w:r w:rsidRPr="007F3343">
        <w:rPr>
          <w:rFonts w:ascii="Verdana" w:hAnsi="Verdana"/>
        </w:rPr>
        <w:t xml:space="preserve"> overspend of £</w:t>
      </w:r>
      <w:r w:rsidR="00D25B9F" w:rsidRPr="007F3343">
        <w:rPr>
          <w:rFonts w:ascii="Verdana" w:hAnsi="Verdana"/>
        </w:rPr>
        <w:t>2.</w:t>
      </w:r>
      <w:r w:rsidR="00454D88" w:rsidRPr="007F3343">
        <w:rPr>
          <w:rFonts w:ascii="Verdana" w:hAnsi="Verdana"/>
        </w:rPr>
        <w:t>002</w:t>
      </w:r>
      <w:r w:rsidR="00D25B9F" w:rsidRPr="007F3343">
        <w:rPr>
          <w:rFonts w:ascii="Verdana" w:hAnsi="Verdana"/>
        </w:rPr>
        <w:t>m</w:t>
      </w:r>
      <w:r w:rsidRPr="007F3343">
        <w:rPr>
          <w:rFonts w:ascii="Verdana" w:hAnsi="Verdana"/>
        </w:rPr>
        <w:t xml:space="preserve"> projected on </w:t>
      </w:r>
      <w:r w:rsidR="000A2BB5" w:rsidRPr="007F3343">
        <w:rPr>
          <w:rFonts w:ascii="Verdana" w:hAnsi="Verdana"/>
        </w:rPr>
        <w:t xml:space="preserve">the </w:t>
      </w:r>
      <w:r w:rsidRPr="007F3343">
        <w:rPr>
          <w:rFonts w:ascii="Verdana" w:hAnsi="Verdana"/>
        </w:rPr>
        <w:t>early years</w:t>
      </w:r>
      <w:r w:rsidR="000A2BB5" w:rsidRPr="007F3343">
        <w:rPr>
          <w:rFonts w:ascii="Verdana" w:hAnsi="Verdana"/>
        </w:rPr>
        <w:t xml:space="preserve"> block</w:t>
      </w:r>
      <w:r w:rsidR="000D60A4" w:rsidRPr="007F3343">
        <w:rPr>
          <w:rFonts w:ascii="Verdana" w:hAnsi="Verdana"/>
        </w:rPr>
        <w:t xml:space="preserve">.  </w:t>
      </w:r>
    </w:p>
    <w:p w14:paraId="1A882E23" w14:textId="77777777" w:rsidR="007F3343" w:rsidRDefault="00957775" w:rsidP="0042436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7F3343">
        <w:rPr>
          <w:rFonts w:ascii="Verdana" w:hAnsi="Verdana"/>
        </w:rPr>
        <w:t>There are a number of factors that have caused this, however the main contributing factor is a</w:t>
      </w:r>
      <w:r w:rsidR="007F3343">
        <w:rPr>
          <w:rFonts w:ascii="Verdana" w:hAnsi="Verdana"/>
        </w:rPr>
        <w:t xml:space="preserve"> </w:t>
      </w:r>
      <w:r w:rsidR="00844FAA" w:rsidRPr="007F3343">
        <w:rPr>
          <w:rFonts w:ascii="Verdana" w:hAnsi="Verdana"/>
        </w:rPr>
        <w:t>£</w:t>
      </w:r>
      <w:r w:rsidRPr="007F3343">
        <w:rPr>
          <w:rFonts w:ascii="Verdana" w:hAnsi="Verdana"/>
        </w:rPr>
        <w:t>2.</w:t>
      </w:r>
      <w:r w:rsidR="00454D88" w:rsidRPr="007F3343">
        <w:rPr>
          <w:rFonts w:ascii="Verdana" w:hAnsi="Verdana"/>
        </w:rPr>
        <w:t>195</w:t>
      </w:r>
      <w:r w:rsidRPr="007F3343">
        <w:rPr>
          <w:rFonts w:ascii="Verdana" w:hAnsi="Verdana"/>
        </w:rPr>
        <w:t xml:space="preserve">m overspend shown against the </w:t>
      </w:r>
      <w:r w:rsidR="00D90398" w:rsidRPr="007F3343">
        <w:rPr>
          <w:rFonts w:ascii="Verdana" w:hAnsi="Verdana"/>
        </w:rPr>
        <w:t>3</w:t>
      </w:r>
      <w:r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844FAA" w:rsidRPr="007F3343">
        <w:rPr>
          <w:rFonts w:ascii="Verdana" w:hAnsi="Verdana"/>
        </w:rPr>
        <w:t xml:space="preserve"> year old formula budget.</w:t>
      </w:r>
      <w:r w:rsidR="00D90398" w:rsidRPr="007F3343">
        <w:rPr>
          <w:rFonts w:ascii="Verdana" w:hAnsi="Verdana"/>
        </w:rPr>
        <w:t xml:space="preserve"> </w:t>
      </w:r>
    </w:p>
    <w:p w14:paraId="1E982639" w14:textId="77777777" w:rsidR="007F3343" w:rsidRDefault="007F3343" w:rsidP="00000A87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 w:rsidRPr="007F3343">
        <w:rPr>
          <w:rFonts w:ascii="Verdana" w:hAnsi="Verdana"/>
        </w:rPr>
        <w:t xml:space="preserve"> 2015/16 this budget overspent by £1.075m</w:t>
      </w:r>
      <w:r>
        <w:rPr>
          <w:rFonts w:ascii="Verdana" w:hAnsi="Verdana"/>
        </w:rPr>
        <w:t>, in the main</w:t>
      </w:r>
      <w:r w:rsidRPr="007F3343">
        <w:rPr>
          <w:rFonts w:ascii="Verdana" w:hAnsi="Verdana"/>
        </w:rPr>
        <w:t xml:space="preserve"> due to the costs associated with funding full time places</w:t>
      </w:r>
      <w:r>
        <w:rPr>
          <w:rFonts w:ascii="Verdana" w:hAnsi="Verdana"/>
        </w:rPr>
        <w:t>.</w:t>
      </w:r>
    </w:p>
    <w:p w14:paraId="65049756" w14:textId="3AAA3FE7" w:rsidR="007F3343" w:rsidRPr="007F3343" w:rsidRDefault="007F3343" w:rsidP="00926E7D">
      <w:pPr>
        <w:pStyle w:val="ListParagraph"/>
        <w:spacing w:line="360" w:lineRule="auto"/>
        <w:ind w:left="851"/>
        <w:jc w:val="both"/>
        <w:rPr>
          <w:rFonts w:ascii="Verdana" w:hAnsi="Verdana"/>
        </w:rPr>
      </w:pPr>
      <w:r w:rsidRPr="007F3343">
        <w:rPr>
          <w:rFonts w:ascii="Verdana" w:hAnsi="Verdana"/>
        </w:rPr>
        <w:t>In 2016/17 this increased to £2.195</w:t>
      </w:r>
      <w:r>
        <w:rPr>
          <w:rFonts w:ascii="Verdana" w:hAnsi="Verdana"/>
        </w:rPr>
        <w:t xml:space="preserve">m, </w:t>
      </w:r>
      <w:r w:rsidRPr="007F3343">
        <w:rPr>
          <w:rFonts w:ascii="Verdana" w:hAnsi="Verdana"/>
        </w:rPr>
        <w:t>a total increase of £1.020m</w:t>
      </w:r>
      <w:r>
        <w:rPr>
          <w:rFonts w:ascii="Verdana" w:hAnsi="Verdana"/>
        </w:rPr>
        <w:t xml:space="preserve"> caused by:</w:t>
      </w:r>
    </w:p>
    <w:p w14:paraId="1733F725" w14:textId="543DE967" w:rsidR="00957775" w:rsidRPr="007F3343" w:rsidRDefault="007F3343" w:rsidP="0090441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957775" w:rsidRPr="007F3343">
        <w:rPr>
          <w:rFonts w:ascii="Verdana" w:hAnsi="Verdana"/>
        </w:rPr>
        <w:t>he</w:t>
      </w:r>
      <w:r w:rsidR="00CA0157" w:rsidRPr="007F3343">
        <w:rPr>
          <w:rFonts w:ascii="Verdana" w:hAnsi="Verdana"/>
        </w:rPr>
        <w:t xml:space="preserve"> </w:t>
      </w:r>
      <w:r w:rsidR="00957775" w:rsidRPr="007F3343">
        <w:rPr>
          <w:rFonts w:ascii="Verdana" w:hAnsi="Verdana"/>
        </w:rPr>
        <w:t>Department for Education</w:t>
      </w:r>
      <w:r w:rsidR="00CA0157" w:rsidRPr="007F3343">
        <w:rPr>
          <w:rFonts w:ascii="Verdana" w:hAnsi="Verdana"/>
        </w:rPr>
        <w:t xml:space="preserve"> </w:t>
      </w:r>
      <w:r>
        <w:rPr>
          <w:rFonts w:ascii="Verdana" w:hAnsi="Verdana"/>
        </w:rPr>
        <w:t>clawing</w:t>
      </w:r>
      <w:r w:rsidR="00CA0157" w:rsidRPr="007F3343">
        <w:rPr>
          <w:rFonts w:ascii="Verdana" w:hAnsi="Verdana"/>
        </w:rPr>
        <w:t xml:space="preserve"> back £</w:t>
      </w:r>
      <w:r w:rsidR="00325310" w:rsidRPr="007F3343">
        <w:rPr>
          <w:rFonts w:ascii="Verdana" w:hAnsi="Verdana"/>
        </w:rPr>
        <w:t>400</w:t>
      </w:r>
      <w:r w:rsidR="00CA0157" w:rsidRPr="007F3343">
        <w:rPr>
          <w:rFonts w:ascii="Verdana" w:hAnsi="Verdana"/>
        </w:rPr>
        <w:t xml:space="preserve">k of DSG </w:t>
      </w:r>
      <w:r w:rsidR="00184FCA" w:rsidRPr="007F3343">
        <w:rPr>
          <w:rFonts w:ascii="Verdana" w:hAnsi="Verdana"/>
        </w:rPr>
        <w:t>relating</w:t>
      </w:r>
      <w:r w:rsidR="00DA53E1" w:rsidRPr="007F3343">
        <w:rPr>
          <w:rFonts w:ascii="Verdana" w:hAnsi="Verdana"/>
        </w:rPr>
        <w:t xml:space="preserve"> to the </w:t>
      </w:r>
      <w:r w:rsidR="00957775" w:rsidRPr="007F3343">
        <w:rPr>
          <w:rFonts w:ascii="Verdana" w:hAnsi="Verdana"/>
        </w:rPr>
        <w:t>2015/</w:t>
      </w:r>
      <w:r w:rsidR="00CA0157" w:rsidRPr="007F3343">
        <w:rPr>
          <w:rFonts w:ascii="Verdana" w:hAnsi="Verdana"/>
        </w:rPr>
        <w:t>16</w:t>
      </w:r>
      <w:r>
        <w:rPr>
          <w:rFonts w:ascii="Verdana" w:hAnsi="Verdana"/>
        </w:rPr>
        <w:t>,</w:t>
      </w:r>
      <w:r w:rsidR="001E27DC" w:rsidRPr="007F3343">
        <w:rPr>
          <w:rFonts w:ascii="Verdana" w:hAnsi="Verdana"/>
        </w:rPr>
        <w:t xml:space="preserve"> as their pupil estimates were higher than recorded on the final</w:t>
      </w:r>
      <w:r w:rsidR="00B25024" w:rsidRPr="007F3343">
        <w:rPr>
          <w:rFonts w:ascii="Verdana" w:hAnsi="Verdana"/>
        </w:rPr>
        <w:t xml:space="preserve"> January 2016</w:t>
      </w:r>
      <w:r w:rsidR="001E27DC" w:rsidRPr="007F3343">
        <w:rPr>
          <w:rFonts w:ascii="Verdana" w:hAnsi="Verdana"/>
        </w:rPr>
        <w:t xml:space="preserve"> census</w:t>
      </w:r>
      <w:r>
        <w:rPr>
          <w:rFonts w:ascii="Verdana" w:hAnsi="Verdana"/>
        </w:rPr>
        <w:t>; and</w:t>
      </w:r>
      <w:r w:rsidR="000D60A4" w:rsidRPr="007F3343">
        <w:rPr>
          <w:rFonts w:ascii="Verdana" w:hAnsi="Verdana"/>
        </w:rPr>
        <w:t xml:space="preserve">  </w:t>
      </w:r>
    </w:p>
    <w:p w14:paraId="6150C822" w14:textId="77777777" w:rsidR="003B75D9" w:rsidRDefault="007F3343" w:rsidP="003B75D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957775" w:rsidRPr="007F3343">
        <w:rPr>
          <w:rFonts w:ascii="Verdana" w:hAnsi="Verdana"/>
        </w:rPr>
        <w:t>he Local Authority’s</w:t>
      </w:r>
      <w:r>
        <w:rPr>
          <w:rFonts w:ascii="Verdana" w:hAnsi="Verdana"/>
        </w:rPr>
        <w:t xml:space="preserve"> latest trend analysis suggesting</w:t>
      </w:r>
      <w:r w:rsidR="00A110FC" w:rsidRPr="007F3343">
        <w:rPr>
          <w:rFonts w:ascii="Verdana" w:hAnsi="Verdana"/>
        </w:rPr>
        <w:t xml:space="preserve"> that we can expect to have 1,5</w:t>
      </w:r>
      <w:r w:rsidR="001E27DC" w:rsidRPr="007F3343">
        <w:rPr>
          <w:rFonts w:ascii="Verdana" w:hAnsi="Verdana"/>
        </w:rPr>
        <w:t>4</w:t>
      </w:r>
      <w:r w:rsidR="00A110FC" w:rsidRPr="007F3343">
        <w:rPr>
          <w:rFonts w:ascii="Verdana" w:hAnsi="Verdana"/>
        </w:rPr>
        <w:t xml:space="preserve">2 FTE equivalent </w:t>
      </w:r>
      <w:r w:rsidR="00D90398" w:rsidRPr="007F3343">
        <w:rPr>
          <w:rFonts w:ascii="Verdana" w:hAnsi="Verdana"/>
        </w:rPr>
        <w:t>3</w:t>
      </w:r>
      <w:r w:rsidR="00A110FC"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A110FC" w:rsidRPr="007F3343">
        <w:rPr>
          <w:rFonts w:ascii="Verdana" w:hAnsi="Verdana"/>
        </w:rPr>
        <w:t xml:space="preserve"> year old pupils on the January 2017 census</w:t>
      </w:r>
      <w:r>
        <w:rPr>
          <w:rFonts w:ascii="Verdana" w:hAnsi="Verdana"/>
        </w:rPr>
        <w:t>. The result of this is</w:t>
      </w:r>
      <w:r w:rsidR="00A110FC" w:rsidRPr="007F3343">
        <w:rPr>
          <w:rFonts w:ascii="Verdana" w:hAnsi="Verdana"/>
        </w:rPr>
        <w:t xml:space="preserve"> current DSG information under reporting the Westm</w:t>
      </w:r>
      <w:r w:rsidR="00957775" w:rsidRPr="007F3343">
        <w:rPr>
          <w:rFonts w:ascii="Verdana" w:hAnsi="Verdana"/>
        </w:rPr>
        <w:t xml:space="preserve">inster </w:t>
      </w:r>
      <w:r w:rsidR="00D90398" w:rsidRPr="007F3343">
        <w:rPr>
          <w:rFonts w:ascii="Verdana" w:hAnsi="Verdana"/>
        </w:rPr>
        <w:t>3</w:t>
      </w:r>
      <w:r w:rsidR="00957775" w:rsidRPr="007F3343">
        <w:rPr>
          <w:rFonts w:ascii="Verdana" w:hAnsi="Verdana"/>
        </w:rPr>
        <w:t xml:space="preserve"> and </w:t>
      </w:r>
      <w:r w:rsidR="00D90398" w:rsidRPr="007F3343">
        <w:rPr>
          <w:rFonts w:ascii="Verdana" w:hAnsi="Verdana"/>
        </w:rPr>
        <w:t>4</w:t>
      </w:r>
      <w:r w:rsidR="00957775" w:rsidRPr="007F3343">
        <w:rPr>
          <w:rFonts w:ascii="Verdana" w:hAnsi="Verdana"/>
        </w:rPr>
        <w:t xml:space="preserve"> </w:t>
      </w:r>
      <w:r w:rsidR="00B25024" w:rsidRPr="007F3343">
        <w:rPr>
          <w:rFonts w:ascii="Verdana" w:hAnsi="Verdana"/>
        </w:rPr>
        <w:t>year old funding</w:t>
      </w:r>
      <w:r w:rsidR="00184FCA" w:rsidRPr="007F3343">
        <w:rPr>
          <w:rFonts w:ascii="Verdana" w:hAnsi="Verdana"/>
        </w:rPr>
        <w:t xml:space="preserve"> by </w:t>
      </w:r>
      <w:r w:rsidR="00957775" w:rsidRPr="007F3343">
        <w:rPr>
          <w:rFonts w:ascii="Verdana" w:hAnsi="Verdana"/>
        </w:rPr>
        <w:t>approximately</w:t>
      </w:r>
      <w:r w:rsidR="00184FCA" w:rsidRPr="007F3343">
        <w:rPr>
          <w:rFonts w:ascii="Verdana" w:hAnsi="Verdana"/>
        </w:rPr>
        <w:t xml:space="preserve"> £</w:t>
      </w:r>
      <w:r w:rsidR="00325310" w:rsidRPr="007F3343">
        <w:rPr>
          <w:rFonts w:ascii="Verdana" w:hAnsi="Verdana"/>
        </w:rPr>
        <w:t>388</w:t>
      </w:r>
      <w:r w:rsidR="00B25024" w:rsidRPr="007F3343">
        <w:rPr>
          <w:rFonts w:ascii="Verdana" w:hAnsi="Verdana"/>
        </w:rPr>
        <w:t>k</w:t>
      </w:r>
      <w:r w:rsidR="000D60A4" w:rsidRPr="007F3343">
        <w:rPr>
          <w:rFonts w:ascii="Verdana" w:hAnsi="Verdana"/>
        </w:rPr>
        <w:t xml:space="preserve">.  </w:t>
      </w:r>
    </w:p>
    <w:p w14:paraId="1E7EFBDE" w14:textId="3CFAF784" w:rsidR="003B75D9" w:rsidRDefault="003B75D9" w:rsidP="003B75D9">
      <w:pPr>
        <w:spacing w:line="360" w:lineRule="auto"/>
        <w:jc w:val="both"/>
        <w:rPr>
          <w:rFonts w:ascii="Verdana" w:hAnsi="Verdana"/>
          <w:b/>
          <w:i/>
        </w:rPr>
      </w:pPr>
    </w:p>
    <w:p w14:paraId="1E7200BF" w14:textId="0081AAE1" w:rsidR="003F5467" w:rsidRPr="00176620" w:rsidRDefault="003F5467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176620">
        <w:rPr>
          <w:rFonts w:ascii="Verdana" w:hAnsi="Verdana"/>
          <w:b/>
        </w:rPr>
        <w:t>Schools Block</w:t>
      </w:r>
      <w:r w:rsidR="00716EF9" w:rsidRPr="00176620">
        <w:rPr>
          <w:rFonts w:ascii="Verdana" w:hAnsi="Verdana"/>
          <w:b/>
        </w:rPr>
        <w:t xml:space="preserve"> (underspend of £165k)</w:t>
      </w:r>
    </w:p>
    <w:p w14:paraId="16935B42" w14:textId="091F50C7" w:rsidR="00096116" w:rsidRDefault="003F5467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096116">
        <w:rPr>
          <w:rFonts w:ascii="Verdana" w:hAnsi="Verdana"/>
        </w:rPr>
        <w:t>The net varian</w:t>
      </w:r>
      <w:r w:rsidR="00D477AE" w:rsidRPr="00096116">
        <w:rPr>
          <w:rFonts w:ascii="Verdana" w:hAnsi="Verdana"/>
        </w:rPr>
        <w:t>ce in the schools block is</w:t>
      </w:r>
      <w:r w:rsidR="00454D88">
        <w:rPr>
          <w:rFonts w:ascii="Verdana" w:hAnsi="Verdana"/>
        </w:rPr>
        <w:t xml:space="preserve"> an underspend of £165</w:t>
      </w:r>
      <w:r w:rsidR="00454D88" w:rsidRPr="00096116">
        <w:rPr>
          <w:rFonts w:ascii="Verdana" w:hAnsi="Verdana"/>
        </w:rPr>
        <w:t>k</w:t>
      </w:r>
      <w:r w:rsidR="00D477AE" w:rsidRPr="00096116">
        <w:rPr>
          <w:rFonts w:ascii="Verdana" w:hAnsi="Verdana"/>
        </w:rPr>
        <w:t>, made up of a number of small items</w:t>
      </w:r>
      <w:r w:rsidR="000D60A4">
        <w:rPr>
          <w:rFonts w:ascii="Verdana" w:hAnsi="Verdana"/>
        </w:rPr>
        <w:t xml:space="preserve">.  </w:t>
      </w:r>
      <w:r w:rsidR="00454D88">
        <w:rPr>
          <w:rFonts w:ascii="Verdana" w:hAnsi="Verdana"/>
        </w:rPr>
        <w:t>There has been a large shift from ‘Growth / Falling Rolls’ to ‘Other’</w:t>
      </w:r>
      <w:r w:rsidR="003B75D9">
        <w:rPr>
          <w:rFonts w:ascii="Verdana" w:hAnsi="Verdana"/>
        </w:rPr>
        <w:t>,</w:t>
      </w:r>
      <w:r w:rsidR="00454D88">
        <w:rPr>
          <w:rFonts w:ascii="Verdana" w:hAnsi="Verdana"/>
        </w:rPr>
        <w:t xml:space="preserve"> where funding of the minimum £5k support has been moved from the Growth Fund.</w:t>
      </w:r>
    </w:p>
    <w:p w14:paraId="1AD27D81" w14:textId="098519BC" w:rsidR="00716EF9" w:rsidRDefault="00716EF9" w:rsidP="0090441C">
      <w:pPr>
        <w:pStyle w:val="ListParagraph"/>
        <w:spacing w:line="360" w:lineRule="auto"/>
        <w:ind w:left="851"/>
        <w:jc w:val="both"/>
        <w:rPr>
          <w:rFonts w:ascii="Verdana" w:hAnsi="Verdana"/>
          <w:b/>
          <w:i/>
        </w:rPr>
      </w:pPr>
    </w:p>
    <w:p w14:paraId="365F1926" w14:textId="693B5EF9" w:rsidR="00096116" w:rsidRPr="00176620" w:rsidRDefault="00D477AE" w:rsidP="003B75D9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bookmarkStart w:id="0" w:name="_GoBack"/>
      <w:r w:rsidRPr="00176620">
        <w:rPr>
          <w:rFonts w:ascii="Verdana" w:hAnsi="Verdana"/>
          <w:b/>
        </w:rPr>
        <w:t xml:space="preserve">High </w:t>
      </w:r>
      <w:r w:rsidR="00A23B34" w:rsidRPr="00176620">
        <w:rPr>
          <w:rFonts w:ascii="Verdana" w:hAnsi="Verdana"/>
          <w:b/>
        </w:rPr>
        <w:t>n</w:t>
      </w:r>
      <w:r w:rsidRPr="00176620">
        <w:rPr>
          <w:rFonts w:ascii="Verdana" w:hAnsi="Verdana"/>
          <w:b/>
        </w:rPr>
        <w:t>eeds</w:t>
      </w:r>
      <w:r w:rsidR="003F5467" w:rsidRPr="00176620">
        <w:rPr>
          <w:rFonts w:ascii="Verdana" w:hAnsi="Verdana"/>
          <w:b/>
        </w:rPr>
        <w:t xml:space="preserve"> </w:t>
      </w:r>
      <w:r w:rsidR="00A23B34" w:rsidRPr="00176620">
        <w:rPr>
          <w:rFonts w:ascii="Verdana" w:hAnsi="Verdana"/>
          <w:b/>
        </w:rPr>
        <w:t>b</w:t>
      </w:r>
      <w:r w:rsidRPr="00176620">
        <w:rPr>
          <w:rFonts w:ascii="Verdana" w:hAnsi="Verdana"/>
          <w:b/>
        </w:rPr>
        <w:t>lock</w:t>
      </w:r>
      <w:r w:rsidR="00716EF9" w:rsidRPr="00176620">
        <w:rPr>
          <w:rFonts w:ascii="Verdana" w:hAnsi="Verdana"/>
          <w:b/>
        </w:rPr>
        <w:t xml:space="preserve"> (underspend of £823k)</w:t>
      </w:r>
    </w:p>
    <w:bookmarkEnd w:id="0"/>
    <w:p w14:paraId="795498A0" w14:textId="7EE1008E" w:rsidR="00096116" w:rsidRDefault="00325310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 xml:space="preserve">There is a projected </w:t>
      </w:r>
      <w:r w:rsidR="007C3697" w:rsidRPr="00D05DD5">
        <w:rPr>
          <w:rFonts w:ascii="Verdana" w:hAnsi="Verdana"/>
        </w:rPr>
        <w:t>under spend</w:t>
      </w:r>
      <w:r w:rsidR="00BF3AFE" w:rsidRPr="00D05DD5">
        <w:rPr>
          <w:rFonts w:ascii="Verdana" w:hAnsi="Verdana"/>
        </w:rPr>
        <w:t xml:space="preserve"> within the </w:t>
      </w:r>
      <w:r w:rsidRPr="00D05DD5">
        <w:rPr>
          <w:rFonts w:ascii="Verdana" w:hAnsi="Verdana"/>
        </w:rPr>
        <w:t>high needs block of £</w:t>
      </w:r>
      <w:r w:rsidR="00454D88" w:rsidRPr="00D05DD5">
        <w:rPr>
          <w:rFonts w:ascii="Verdana" w:hAnsi="Verdana"/>
        </w:rPr>
        <w:t>823</w:t>
      </w:r>
      <w:r w:rsidR="007C3697" w:rsidRPr="00D05DD5">
        <w:rPr>
          <w:rFonts w:ascii="Verdana" w:hAnsi="Verdana"/>
        </w:rPr>
        <w:t>k</w:t>
      </w:r>
      <w:r w:rsidR="000D60A4">
        <w:rPr>
          <w:rFonts w:ascii="Verdana" w:hAnsi="Verdana"/>
        </w:rPr>
        <w:t xml:space="preserve">.  </w:t>
      </w:r>
      <w:r w:rsidR="00D05DD5" w:rsidRPr="00D05DD5">
        <w:rPr>
          <w:rFonts w:ascii="Verdana" w:hAnsi="Verdana"/>
        </w:rPr>
        <w:t>T</w:t>
      </w:r>
      <w:r w:rsidR="00BF3AFE" w:rsidRPr="00D05DD5">
        <w:rPr>
          <w:rFonts w:ascii="Verdana" w:hAnsi="Verdana"/>
        </w:rPr>
        <w:t xml:space="preserve">his is primarily due to </w:t>
      </w:r>
      <w:r w:rsidRPr="00D05DD5">
        <w:rPr>
          <w:rFonts w:ascii="Verdana" w:hAnsi="Verdana"/>
        </w:rPr>
        <w:t>a £</w:t>
      </w:r>
      <w:r w:rsidR="00DA53E1" w:rsidRPr="00D05DD5">
        <w:rPr>
          <w:rFonts w:ascii="Verdana" w:hAnsi="Verdana"/>
        </w:rPr>
        <w:t>95</w:t>
      </w:r>
      <w:r w:rsidR="00454D88" w:rsidRPr="00D05DD5">
        <w:rPr>
          <w:rFonts w:ascii="Verdana" w:hAnsi="Verdana"/>
        </w:rPr>
        <w:t>2</w:t>
      </w:r>
      <w:r w:rsidR="007C3697" w:rsidRPr="00D05DD5">
        <w:rPr>
          <w:rFonts w:ascii="Verdana" w:hAnsi="Verdana"/>
        </w:rPr>
        <w:t>k</w:t>
      </w:r>
      <w:r w:rsidRPr="00D05DD5">
        <w:rPr>
          <w:rFonts w:ascii="Verdana" w:hAnsi="Verdana"/>
        </w:rPr>
        <w:t xml:space="preserve"> </w:t>
      </w:r>
      <w:r w:rsidR="007C3697" w:rsidRPr="00D05DD5">
        <w:rPr>
          <w:rFonts w:ascii="Verdana" w:hAnsi="Verdana"/>
        </w:rPr>
        <w:t>under spend</w:t>
      </w:r>
      <w:r w:rsidRPr="00D05DD5">
        <w:rPr>
          <w:rFonts w:ascii="Verdana" w:hAnsi="Verdana"/>
        </w:rPr>
        <w:t xml:space="preserve"> on</w:t>
      </w:r>
      <w:r w:rsidR="00BF3AFE" w:rsidRPr="00D05DD5">
        <w:rPr>
          <w:rFonts w:ascii="Verdana" w:hAnsi="Verdana"/>
        </w:rPr>
        <w:t xml:space="preserve"> maintained </w:t>
      </w:r>
      <w:r w:rsidR="00D05DD5" w:rsidRPr="00D05DD5">
        <w:rPr>
          <w:rFonts w:ascii="Verdana" w:hAnsi="Verdana"/>
        </w:rPr>
        <w:t>school’s</w:t>
      </w:r>
      <w:r w:rsidR="00BF3AFE" w:rsidRPr="00D05DD5">
        <w:rPr>
          <w:rFonts w:ascii="Verdana" w:hAnsi="Verdana"/>
        </w:rPr>
        <w:t xml:space="preserve"> </w:t>
      </w:r>
      <w:r w:rsidRPr="00D05DD5">
        <w:rPr>
          <w:rFonts w:ascii="Verdana" w:hAnsi="Verdana"/>
        </w:rPr>
        <w:t>top-up</w:t>
      </w:r>
      <w:r w:rsidR="00BF3AFE" w:rsidRPr="00D05DD5">
        <w:rPr>
          <w:rFonts w:ascii="Verdana" w:hAnsi="Verdana"/>
        </w:rPr>
        <w:t xml:space="preserve"> funding</w:t>
      </w:r>
      <w:r w:rsidR="000D60A4">
        <w:rPr>
          <w:rFonts w:ascii="Verdana" w:hAnsi="Verdana"/>
        </w:rPr>
        <w:t xml:space="preserve">.  </w:t>
      </w:r>
      <w:r w:rsidR="00D05DD5" w:rsidRPr="00D05DD5">
        <w:rPr>
          <w:rFonts w:ascii="Verdana" w:hAnsi="Verdana"/>
        </w:rPr>
        <w:t>There is also a £154k under spend on joint funded belongings placements</w:t>
      </w:r>
      <w:r w:rsidR="000D60A4">
        <w:rPr>
          <w:rFonts w:ascii="Verdana" w:hAnsi="Verdana"/>
        </w:rPr>
        <w:t xml:space="preserve">.  </w:t>
      </w:r>
      <w:r w:rsidR="00BF3AFE" w:rsidRPr="00D05DD5">
        <w:rPr>
          <w:rFonts w:ascii="Verdana" w:hAnsi="Verdana"/>
        </w:rPr>
        <w:t xml:space="preserve">This </w:t>
      </w:r>
      <w:r w:rsidR="0033124A" w:rsidRPr="00D05DD5">
        <w:rPr>
          <w:rFonts w:ascii="Verdana" w:hAnsi="Verdana"/>
        </w:rPr>
        <w:t xml:space="preserve">under spend </w:t>
      </w:r>
      <w:r w:rsidR="00BF3AFE" w:rsidRPr="00D05DD5">
        <w:rPr>
          <w:rFonts w:ascii="Verdana" w:hAnsi="Verdana"/>
        </w:rPr>
        <w:t xml:space="preserve">is </w:t>
      </w:r>
      <w:r w:rsidR="00BF3AFE" w:rsidRPr="00D05DD5">
        <w:rPr>
          <w:rFonts w:ascii="Verdana" w:hAnsi="Verdana"/>
        </w:rPr>
        <w:lastRenderedPageBreak/>
        <w:t>partially offset</w:t>
      </w:r>
      <w:r w:rsidRPr="00D05DD5">
        <w:rPr>
          <w:rFonts w:ascii="Verdana" w:hAnsi="Verdana"/>
        </w:rPr>
        <w:t xml:space="preserve"> </w:t>
      </w:r>
      <w:r w:rsidR="00BF3AFE" w:rsidRPr="00D05DD5">
        <w:rPr>
          <w:rFonts w:ascii="Verdana" w:hAnsi="Verdana"/>
        </w:rPr>
        <w:t xml:space="preserve">by an </w:t>
      </w:r>
      <w:r w:rsidRPr="00D05DD5">
        <w:rPr>
          <w:rFonts w:ascii="Verdana" w:hAnsi="Verdana"/>
        </w:rPr>
        <w:t>over</w:t>
      </w:r>
      <w:r w:rsidR="00BF3AFE" w:rsidRPr="00D05DD5">
        <w:rPr>
          <w:rFonts w:ascii="Verdana" w:hAnsi="Verdana"/>
        </w:rPr>
        <w:t xml:space="preserve"> </w:t>
      </w:r>
      <w:r w:rsidRPr="00D05DD5">
        <w:rPr>
          <w:rFonts w:ascii="Verdana" w:hAnsi="Verdana"/>
        </w:rPr>
        <w:t>spend of £4</w:t>
      </w:r>
      <w:r w:rsidR="00DA53E1" w:rsidRPr="00D05DD5">
        <w:rPr>
          <w:rFonts w:ascii="Verdana" w:hAnsi="Verdana"/>
        </w:rPr>
        <w:t>11</w:t>
      </w:r>
      <w:r w:rsidR="007C3697" w:rsidRPr="00D05DD5">
        <w:rPr>
          <w:rFonts w:ascii="Verdana" w:hAnsi="Verdana"/>
        </w:rPr>
        <w:t>k</w:t>
      </w:r>
      <w:r w:rsidRPr="00D05DD5">
        <w:rPr>
          <w:rFonts w:ascii="Verdana" w:hAnsi="Verdana"/>
        </w:rPr>
        <w:t xml:space="preserve"> in alternative provision commissioning</w:t>
      </w:r>
      <w:r w:rsidR="000D60A4">
        <w:rPr>
          <w:rFonts w:ascii="Verdana" w:hAnsi="Verdana"/>
        </w:rPr>
        <w:t xml:space="preserve">.  </w:t>
      </w:r>
    </w:p>
    <w:p w14:paraId="18DF3762" w14:textId="7D26C925" w:rsidR="003B75D9" w:rsidRDefault="003B75D9" w:rsidP="003B75D9">
      <w:pPr>
        <w:spacing w:line="360" w:lineRule="auto"/>
        <w:jc w:val="both"/>
        <w:rPr>
          <w:rFonts w:ascii="Verdana" w:hAnsi="Verdana"/>
        </w:rPr>
      </w:pPr>
    </w:p>
    <w:p w14:paraId="5B6481F2" w14:textId="40FBD91B" w:rsidR="00BF3AFE" w:rsidRPr="00D05DD5" w:rsidRDefault="00325310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 xml:space="preserve">There has been a reduction in </w:t>
      </w:r>
      <w:r w:rsidR="00D05DD5">
        <w:rPr>
          <w:rFonts w:ascii="Verdana" w:hAnsi="Verdana"/>
        </w:rPr>
        <w:t>year-on-year</w:t>
      </w:r>
      <w:r w:rsidR="006C6859" w:rsidRPr="00D05DD5">
        <w:rPr>
          <w:rFonts w:ascii="Verdana" w:hAnsi="Verdana"/>
        </w:rPr>
        <w:t xml:space="preserve"> expenditure on top-up fu</w:t>
      </w:r>
      <w:r w:rsidR="0033124A" w:rsidRPr="00D05DD5">
        <w:rPr>
          <w:rFonts w:ascii="Verdana" w:hAnsi="Verdana"/>
        </w:rPr>
        <w:t xml:space="preserve">nding for </w:t>
      </w:r>
      <w:r w:rsidRPr="00D05DD5">
        <w:rPr>
          <w:rFonts w:ascii="Verdana" w:hAnsi="Verdana"/>
        </w:rPr>
        <w:t>the maintained sector of almost £</w:t>
      </w:r>
      <w:r w:rsidR="00DA53E1" w:rsidRPr="00D05DD5">
        <w:rPr>
          <w:rFonts w:ascii="Verdana" w:hAnsi="Verdana"/>
        </w:rPr>
        <w:t>8</w:t>
      </w:r>
      <w:r w:rsidR="007C3697" w:rsidRPr="00D05DD5">
        <w:rPr>
          <w:rFonts w:ascii="Verdana" w:hAnsi="Verdana"/>
        </w:rPr>
        <w:t>00k</w:t>
      </w:r>
      <w:r w:rsidR="000D60A4">
        <w:rPr>
          <w:rFonts w:ascii="Verdana" w:hAnsi="Verdana"/>
        </w:rPr>
        <w:t xml:space="preserve">.  </w:t>
      </w:r>
      <w:r w:rsidR="00BF3AFE" w:rsidRPr="00D05DD5">
        <w:rPr>
          <w:rFonts w:ascii="Verdana" w:hAnsi="Verdana"/>
        </w:rPr>
        <w:t xml:space="preserve">This is primarily due to the continued transfer of </w:t>
      </w:r>
      <w:r w:rsidR="00080B8F">
        <w:rPr>
          <w:rFonts w:ascii="Verdana" w:hAnsi="Verdana"/>
        </w:rPr>
        <w:t xml:space="preserve">maintained schools to </w:t>
      </w:r>
      <w:r w:rsidR="00BF3AFE" w:rsidRPr="00D05DD5">
        <w:rPr>
          <w:rFonts w:ascii="Verdana" w:hAnsi="Verdana"/>
        </w:rPr>
        <w:t>schools to academy s</w:t>
      </w:r>
      <w:r w:rsidR="00080B8F">
        <w:rPr>
          <w:rFonts w:ascii="Verdana" w:hAnsi="Verdana"/>
        </w:rPr>
        <w:t>tatus</w:t>
      </w:r>
      <w:r w:rsidR="000D60A4">
        <w:rPr>
          <w:rFonts w:ascii="Verdana" w:hAnsi="Verdana"/>
        </w:rPr>
        <w:t xml:space="preserve">.  </w:t>
      </w:r>
      <w:r w:rsidR="00BF3AFE" w:rsidRPr="00D05DD5">
        <w:rPr>
          <w:rFonts w:ascii="Verdana" w:hAnsi="Verdana"/>
        </w:rPr>
        <w:t xml:space="preserve">In </w:t>
      </w:r>
      <w:r w:rsidR="00D05DD5">
        <w:rPr>
          <w:rFonts w:ascii="Verdana" w:hAnsi="Verdana"/>
        </w:rPr>
        <w:t>20</w:t>
      </w:r>
      <w:r w:rsidR="00BF3AFE" w:rsidRPr="00D05DD5">
        <w:rPr>
          <w:rFonts w:ascii="Verdana" w:hAnsi="Verdana"/>
        </w:rPr>
        <w:t>17/18 this tre</w:t>
      </w:r>
      <w:r w:rsidR="006C6859" w:rsidRPr="00D05DD5">
        <w:rPr>
          <w:rFonts w:ascii="Verdana" w:hAnsi="Verdana"/>
        </w:rPr>
        <w:t xml:space="preserve">nd should slow as </w:t>
      </w:r>
      <w:r w:rsidR="0033124A" w:rsidRPr="00D05DD5">
        <w:rPr>
          <w:rFonts w:ascii="Verdana" w:hAnsi="Verdana"/>
        </w:rPr>
        <w:t xml:space="preserve">all </w:t>
      </w:r>
      <w:r w:rsidR="00016ABE">
        <w:rPr>
          <w:rFonts w:ascii="Verdana" w:hAnsi="Verdana"/>
        </w:rPr>
        <w:t xml:space="preserve">but one </w:t>
      </w:r>
      <w:r w:rsidR="00080B8F">
        <w:rPr>
          <w:rFonts w:ascii="Verdana" w:hAnsi="Verdana"/>
        </w:rPr>
        <w:t>maintained secondary schools</w:t>
      </w:r>
      <w:r w:rsidR="0033124A" w:rsidRPr="00D05DD5">
        <w:rPr>
          <w:rFonts w:ascii="Verdana" w:hAnsi="Verdana"/>
        </w:rPr>
        <w:t xml:space="preserve"> ha</w:t>
      </w:r>
      <w:r w:rsidR="00FA1B46">
        <w:rPr>
          <w:rFonts w:ascii="Verdana" w:hAnsi="Verdana"/>
        </w:rPr>
        <w:t>s</w:t>
      </w:r>
      <w:r w:rsidR="0033124A" w:rsidRPr="00D05DD5">
        <w:rPr>
          <w:rFonts w:ascii="Verdana" w:hAnsi="Verdana"/>
        </w:rPr>
        <w:t xml:space="preserve"> now converted</w:t>
      </w:r>
      <w:r w:rsidR="00080B8F">
        <w:rPr>
          <w:rFonts w:ascii="Verdana" w:hAnsi="Verdana"/>
        </w:rPr>
        <w:t>.</w:t>
      </w:r>
    </w:p>
    <w:p w14:paraId="3D701974" w14:textId="36D42CFC" w:rsidR="00096116" w:rsidRPr="00D05DD5" w:rsidRDefault="00DA53E1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>Demand is also down in the indepe</w:t>
      </w:r>
      <w:r w:rsidR="00942B96">
        <w:rPr>
          <w:rFonts w:ascii="Verdana" w:hAnsi="Verdana"/>
        </w:rPr>
        <w:t>ndent school sector with a year-on-</w:t>
      </w:r>
      <w:r w:rsidRPr="00D05DD5">
        <w:rPr>
          <w:rFonts w:ascii="Verdana" w:hAnsi="Verdana"/>
        </w:rPr>
        <w:t xml:space="preserve">year cost reduction of </w:t>
      </w:r>
      <w:r w:rsidR="00942B96">
        <w:rPr>
          <w:rFonts w:ascii="Verdana" w:hAnsi="Verdana"/>
        </w:rPr>
        <w:t>approximately</w:t>
      </w:r>
      <w:r w:rsidRPr="00D05DD5">
        <w:rPr>
          <w:rFonts w:ascii="Verdana" w:hAnsi="Verdana"/>
        </w:rPr>
        <w:t xml:space="preserve"> £4</w:t>
      </w:r>
      <w:r w:rsidR="007C3697" w:rsidRPr="00D05DD5">
        <w:rPr>
          <w:rFonts w:ascii="Verdana" w:hAnsi="Verdana"/>
        </w:rPr>
        <w:t>00k</w:t>
      </w:r>
      <w:r w:rsidR="000D60A4">
        <w:rPr>
          <w:rFonts w:ascii="Verdana" w:hAnsi="Verdana"/>
        </w:rPr>
        <w:t xml:space="preserve">.  </w:t>
      </w:r>
      <w:r w:rsidR="006C6859" w:rsidRPr="00D05DD5">
        <w:rPr>
          <w:rFonts w:ascii="Verdana" w:hAnsi="Verdana"/>
        </w:rPr>
        <w:t xml:space="preserve">There has been a concerted effort by the SEN team to reduce </w:t>
      </w:r>
      <w:r w:rsidR="00942B96">
        <w:rPr>
          <w:rFonts w:ascii="Verdana" w:hAnsi="Verdana"/>
        </w:rPr>
        <w:t>i</w:t>
      </w:r>
      <w:r w:rsidR="006C6859" w:rsidRPr="00D05DD5">
        <w:rPr>
          <w:rFonts w:ascii="Verdana" w:hAnsi="Verdana"/>
        </w:rPr>
        <w:t xml:space="preserve">ndependent </w:t>
      </w:r>
      <w:r w:rsidR="00942B96">
        <w:rPr>
          <w:rFonts w:ascii="Verdana" w:hAnsi="Verdana"/>
        </w:rPr>
        <w:t xml:space="preserve">school </w:t>
      </w:r>
      <w:r w:rsidR="006C6859" w:rsidRPr="00D05DD5">
        <w:rPr>
          <w:rFonts w:ascii="Verdana" w:hAnsi="Verdana"/>
        </w:rPr>
        <w:t>placement spend</w:t>
      </w:r>
      <w:r w:rsidR="000D60A4">
        <w:rPr>
          <w:rFonts w:ascii="Verdana" w:hAnsi="Verdana"/>
        </w:rPr>
        <w:t xml:space="preserve">.  </w:t>
      </w:r>
      <w:r w:rsidR="00942B96">
        <w:rPr>
          <w:rFonts w:ascii="Verdana" w:hAnsi="Verdana"/>
        </w:rPr>
        <w:t>The Local Authority</w:t>
      </w:r>
      <w:r w:rsidR="006C6859" w:rsidRPr="00D05DD5">
        <w:rPr>
          <w:rFonts w:ascii="Verdana" w:hAnsi="Verdana"/>
        </w:rPr>
        <w:t xml:space="preserve"> allocates a disproportionately high level of funding to </w:t>
      </w:r>
      <w:r w:rsidR="00942B96">
        <w:rPr>
          <w:rFonts w:ascii="Verdana" w:hAnsi="Verdana"/>
        </w:rPr>
        <w:t>i</w:t>
      </w:r>
      <w:r w:rsidR="006C6859" w:rsidRPr="00D05DD5">
        <w:rPr>
          <w:rFonts w:ascii="Verdana" w:hAnsi="Verdana"/>
        </w:rPr>
        <w:t xml:space="preserve">ndependent </w:t>
      </w:r>
      <w:r w:rsidR="00942B96">
        <w:rPr>
          <w:rFonts w:ascii="Verdana" w:hAnsi="Verdana"/>
        </w:rPr>
        <w:t xml:space="preserve">school </w:t>
      </w:r>
      <w:r w:rsidR="006C6859" w:rsidRPr="00D05DD5">
        <w:rPr>
          <w:rFonts w:ascii="Verdana" w:hAnsi="Verdana"/>
        </w:rPr>
        <w:t>places</w:t>
      </w:r>
      <w:r w:rsidR="00942B96">
        <w:rPr>
          <w:rFonts w:ascii="Verdana" w:hAnsi="Verdana"/>
        </w:rPr>
        <w:t xml:space="preserve"> when</w:t>
      </w:r>
      <w:r w:rsidR="006C6859" w:rsidRPr="00D05DD5">
        <w:rPr>
          <w:rFonts w:ascii="Verdana" w:hAnsi="Verdana"/>
        </w:rPr>
        <w:t xml:space="preserve"> compared to </w:t>
      </w:r>
      <w:r w:rsidR="00942B96">
        <w:rPr>
          <w:rFonts w:ascii="Verdana" w:hAnsi="Verdana"/>
        </w:rPr>
        <w:t xml:space="preserve">similar </w:t>
      </w:r>
      <w:r w:rsidR="006C6859" w:rsidRPr="00D05DD5">
        <w:rPr>
          <w:rFonts w:ascii="Verdana" w:hAnsi="Verdana"/>
        </w:rPr>
        <w:t>London Boroughs</w:t>
      </w:r>
      <w:r w:rsidR="000D60A4">
        <w:rPr>
          <w:rFonts w:ascii="Verdana" w:hAnsi="Verdana"/>
        </w:rPr>
        <w:t xml:space="preserve">.  </w:t>
      </w:r>
      <w:r w:rsidR="006C6859" w:rsidRPr="00D05DD5">
        <w:rPr>
          <w:rFonts w:ascii="Verdana" w:hAnsi="Verdana"/>
        </w:rPr>
        <w:t xml:space="preserve">There is an opportunity to reduce the average cost per child across the </w:t>
      </w:r>
      <w:r w:rsidR="00942B96">
        <w:rPr>
          <w:rFonts w:ascii="Verdana" w:hAnsi="Verdana"/>
        </w:rPr>
        <w:t>B</w:t>
      </w:r>
      <w:r w:rsidR="006C6859" w:rsidRPr="00D05DD5">
        <w:rPr>
          <w:rFonts w:ascii="Verdana" w:hAnsi="Verdana"/>
        </w:rPr>
        <w:t xml:space="preserve">orough by working with existing </w:t>
      </w:r>
      <w:r w:rsidR="00942B96">
        <w:rPr>
          <w:rFonts w:ascii="Verdana" w:hAnsi="Verdana"/>
        </w:rPr>
        <w:t>providers</w:t>
      </w:r>
      <w:r w:rsidR="006C6859" w:rsidRPr="00D05DD5">
        <w:rPr>
          <w:rFonts w:ascii="Verdana" w:hAnsi="Verdana"/>
        </w:rPr>
        <w:t xml:space="preserve"> to better accommodate the needs of our SEN pupils locally</w:t>
      </w:r>
      <w:r w:rsidR="00FA1B46">
        <w:rPr>
          <w:rFonts w:ascii="Verdana" w:hAnsi="Verdana"/>
        </w:rPr>
        <w:t>.</w:t>
      </w:r>
    </w:p>
    <w:p w14:paraId="0A2630A6" w14:textId="0879B1BB" w:rsidR="0033124A" w:rsidRPr="00D05DD5" w:rsidRDefault="0033124A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>There is significant work being undertaken to address the pressure within the alternative provision commissioning budget (£411k)</w:t>
      </w:r>
      <w:r w:rsidR="000D60A4">
        <w:rPr>
          <w:rFonts w:ascii="Verdana" w:hAnsi="Verdana"/>
        </w:rPr>
        <w:t xml:space="preserve">.  </w:t>
      </w:r>
      <w:r w:rsidRPr="00D05DD5">
        <w:rPr>
          <w:rFonts w:ascii="Verdana" w:hAnsi="Verdana"/>
        </w:rPr>
        <w:t xml:space="preserve">Measures to reduce this overspend will have an immediate impact </w:t>
      </w:r>
      <w:r w:rsidR="00B778F3">
        <w:rPr>
          <w:rFonts w:ascii="Verdana" w:hAnsi="Verdana"/>
        </w:rPr>
        <w:t>from</w:t>
      </w:r>
      <w:r w:rsidRPr="00D05DD5">
        <w:rPr>
          <w:rFonts w:ascii="Verdana" w:hAnsi="Verdana"/>
        </w:rPr>
        <w:t xml:space="preserve"> the </w:t>
      </w:r>
      <w:r w:rsidR="00B778F3">
        <w:rPr>
          <w:rFonts w:ascii="Verdana" w:hAnsi="Verdana"/>
        </w:rPr>
        <w:t>start of the coming financial year</w:t>
      </w:r>
      <w:r w:rsidR="000D60A4">
        <w:rPr>
          <w:rFonts w:ascii="Verdana" w:hAnsi="Verdana"/>
        </w:rPr>
        <w:t xml:space="preserve">.  </w:t>
      </w:r>
      <w:r w:rsidRPr="00D05DD5">
        <w:rPr>
          <w:rFonts w:ascii="Verdana" w:hAnsi="Verdana"/>
        </w:rPr>
        <w:t xml:space="preserve">A commissioning process will be undertaken between January </w:t>
      </w:r>
      <w:r w:rsidR="00B778F3">
        <w:rPr>
          <w:rFonts w:ascii="Verdana" w:hAnsi="Verdana"/>
        </w:rPr>
        <w:t xml:space="preserve">– August </w:t>
      </w:r>
      <w:r w:rsidRPr="00D05DD5">
        <w:rPr>
          <w:rFonts w:ascii="Verdana" w:hAnsi="Verdana"/>
        </w:rPr>
        <w:t xml:space="preserve">2017 </w:t>
      </w:r>
      <w:r w:rsidR="00B778F3">
        <w:rPr>
          <w:rFonts w:ascii="Verdana" w:hAnsi="Verdana"/>
        </w:rPr>
        <w:t>which</w:t>
      </w:r>
      <w:r w:rsidRPr="00D05DD5">
        <w:rPr>
          <w:rFonts w:ascii="Verdana" w:hAnsi="Verdana"/>
        </w:rPr>
        <w:t xml:space="preserve"> will result in new contracts coming into effect from </w:t>
      </w:r>
      <w:r w:rsidR="00B778F3">
        <w:rPr>
          <w:rFonts w:ascii="Verdana" w:hAnsi="Verdana"/>
        </w:rPr>
        <w:t xml:space="preserve">1 </w:t>
      </w:r>
      <w:r w:rsidRPr="00D05DD5">
        <w:rPr>
          <w:rFonts w:ascii="Verdana" w:hAnsi="Verdana"/>
        </w:rPr>
        <w:t>September 2017.</w:t>
      </w:r>
    </w:p>
    <w:p w14:paraId="592787E4" w14:textId="77777777" w:rsidR="0033124A" w:rsidRPr="00D05DD5" w:rsidRDefault="003959BB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>The reduction in Belongings Placements</w:t>
      </w:r>
      <w:r w:rsidR="007C3697" w:rsidRPr="00D05DD5">
        <w:rPr>
          <w:rFonts w:ascii="Verdana" w:hAnsi="Verdana"/>
        </w:rPr>
        <w:t xml:space="preserve"> costs (£154k)</w:t>
      </w:r>
      <w:r w:rsidRPr="00D05DD5">
        <w:rPr>
          <w:rFonts w:ascii="Verdana" w:hAnsi="Verdana"/>
        </w:rPr>
        <w:t xml:space="preserve"> is due to the </w:t>
      </w:r>
      <w:r w:rsidR="007C3697" w:rsidRPr="00D05DD5">
        <w:rPr>
          <w:rFonts w:ascii="Verdana" w:hAnsi="Verdana"/>
        </w:rPr>
        <w:t>transfer</w:t>
      </w:r>
      <w:r w:rsidRPr="00D05DD5">
        <w:rPr>
          <w:rFonts w:ascii="Verdana" w:hAnsi="Verdana"/>
        </w:rPr>
        <w:t xml:space="preserve"> of several pupils from high cost looked after children placements back into the school sector</w:t>
      </w:r>
      <w:r w:rsidR="00096116" w:rsidRPr="00D05DD5">
        <w:rPr>
          <w:rFonts w:ascii="Verdana" w:hAnsi="Verdana"/>
        </w:rPr>
        <w:t>.</w:t>
      </w:r>
    </w:p>
    <w:p w14:paraId="433A3DD0" w14:textId="20F96671" w:rsidR="004239A3" w:rsidRDefault="00096116" w:rsidP="0090441C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05DD5">
        <w:rPr>
          <w:rFonts w:ascii="Verdana" w:hAnsi="Verdana"/>
        </w:rPr>
        <w:t xml:space="preserve">Detailed budgets </w:t>
      </w:r>
      <w:r w:rsidR="00B778F3">
        <w:rPr>
          <w:rFonts w:ascii="Verdana" w:hAnsi="Verdana"/>
        </w:rPr>
        <w:t>and current projections of the out-t</w:t>
      </w:r>
      <w:r w:rsidRPr="00D05DD5">
        <w:rPr>
          <w:rFonts w:ascii="Verdana" w:hAnsi="Verdana"/>
        </w:rPr>
        <w:t xml:space="preserve">urn position can be found in </w:t>
      </w:r>
      <w:r w:rsidR="00D25B9F" w:rsidRPr="00D05DD5">
        <w:rPr>
          <w:rFonts w:ascii="Verdana" w:hAnsi="Verdana"/>
        </w:rPr>
        <w:t>Table 2</w:t>
      </w:r>
      <w:r w:rsidRPr="00D05DD5">
        <w:rPr>
          <w:rFonts w:ascii="Verdana" w:hAnsi="Verdana"/>
        </w:rPr>
        <w:t>.</w:t>
      </w:r>
    </w:p>
    <w:p w14:paraId="1ADBC522" w14:textId="77777777" w:rsidR="004239A3" w:rsidRDefault="00423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3860"/>
        <w:gridCol w:w="1340"/>
        <w:gridCol w:w="1340"/>
        <w:gridCol w:w="1340"/>
        <w:gridCol w:w="1340"/>
      </w:tblGrid>
      <w:tr w:rsidR="00AE672C" w:rsidRPr="002C5A0F" w14:paraId="4A9209BA" w14:textId="77777777" w:rsidTr="00BF3AFE">
        <w:trPr>
          <w:trHeight w:val="495"/>
          <w:jc w:val="center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E4A4F33" w14:textId="58BCFAE4" w:rsidR="00AE672C" w:rsidRPr="009D73D3" w:rsidRDefault="0090441C" w:rsidP="00AE672C">
            <w:pPr>
              <w:ind w:left="-160" w:firstLine="160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Cs w:val="18"/>
                <w:lang w:eastAsia="en-GB"/>
              </w:rPr>
              <w:lastRenderedPageBreak/>
              <w:t>TABLE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3CD4214" w14:textId="01887070" w:rsidR="00AE672C" w:rsidRPr="002C5A0F" w:rsidRDefault="00AE672C" w:rsidP="00AE672C">
            <w:pPr>
              <w:ind w:left="-1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Amended Budget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46CB7FB" w14:textId="5503CD4A" w:rsidR="00AE672C" w:rsidRPr="002C5A0F" w:rsidRDefault="00AE672C" w:rsidP="00AE672C">
            <w:pPr>
              <w:ind w:left="-10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Projected Actual (Jan)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9DAF34D" w14:textId="055EE6E3" w:rsidR="00AE672C" w:rsidRPr="002C5A0F" w:rsidRDefault="00AE672C" w:rsidP="00AE672C">
            <w:pPr>
              <w:ind w:left="-160" w:hanging="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Projected Variance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14:paraId="7FB47FA6" w14:textId="77777777" w:rsidR="00AE672C" w:rsidRPr="002C5A0F" w:rsidRDefault="00AE672C" w:rsidP="00AE672C">
            <w:pPr>
              <w:ind w:left="-9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Change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from</w:t>
            </w:r>
            <w:r w:rsidRPr="002C5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P6 Report</w:t>
            </w:r>
          </w:p>
        </w:tc>
      </w:tr>
      <w:tr w:rsidR="00D25B9F" w:rsidRPr="002C5A0F" w14:paraId="79FFD292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950" w14:textId="77777777" w:rsidR="00D25B9F" w:rsidRPr="002C5A0F" w:rsidRDefault="00D25B9F" w:rsidP="001602B6">
            <w:pPr>
              <w:ind w:left="-160" w:firstLine="1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5C9D" w14:textId="77777777" w:rsidR="00D25B9F" w:rsidRPr="002C5A0F" w:rsidRDefault="00D25B9F" w:rsidP="001602B6">
            <w:pPr>
              <w:ind w:left="-160" w:firstLine="16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1C0" w14:textId="77777777" w:rsidR="00D25B9F" w:rsidRPr="002C5A0F" w:rsidRDefault="00D25B9F" w:rsidP="001602B6">
            <w:pPr>
              <w:ind w:left="-160" w:firstLine="16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DDD" w14:textId="77777777" w:rsidR="00D25B9F" w:rsidRPr="002C5A0F" w:rsidRDefault="00D25B9F" w:rsidP="001602B6">
            <w:pPr>
              <w:ind w:left="-160" w:firstLine="16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C55" w14:textId="77777777" w:rsidR="00D25B9F" w:rsidRPr="002C5A0F" w:rsidRDefault="00D25B9F" w:rsidP="001602B6">
            <w:pPr>
              <w:ind w:left="-160" w:firstLine="16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</w:tr>
      <w:tr w:rsidR="00D25B9F" w:rsidRPr="002C5A0F" w14:paraId="097A117A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5FF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Early Years Block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8452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214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F81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AB1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B9F" w:rsidRPr="002C5A0F" w14:paraId="7EDBEA90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923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Year Old Offer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A26CF" w14:textId="77777777" w:rsidR="00D25B9F" w:rsidRPr="0049423D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94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1,171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BDE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D3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DD2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39 </w:t>
            </w:r>
          </w:p>
        </w:tc>
      </w:tr>
      <w:tr w:rsidR="00D25B9F" w:rsidRPr="002C5A0F" w14:paraId="05EBA894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3A0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2YO Project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2125" w14:textId="77777777" w:rsidR="00D25B9F" w:rsidRPr="0049423D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94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120" w14:textId="77777777" w:rsidR="00D25B9F" w:rsidRPr="00FA1B46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A1B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F37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67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-2 </w:t>
            </w:r>
          </w:p>
        </w:tc>
      </w:tr>
      <w:tr w:rsidR="00D25B9F" w:rsidRPr="002C5A0F" w14:paraId="7E696BDE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DC0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Formula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D7F6" w14:textId="77777777" w:rsidR="00D25B9F" w:rsidRPr="0049423D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94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8,185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7CD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10,380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62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2,195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B6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260 </w:t>
            </w:r>
          </w:p>
        </w:tc>
      </w:tr>
      <w:tr w:rsidR="00D25B9F" w:rsidRPr="002C5A0F" w14:paraId="60E732D7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141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Pupil Premium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C8F1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7E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116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DE2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E6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-8 </w:t>
            </w:r>
          </w:p>
        </w:tc>
      </w:tr>
      <w:tr w:rsidR="00D25B9F" w:rsidRPr="002C5A0F" w14:paraId="653DB43D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B02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with Disabilities Provision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4A9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6BE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01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67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</w:tr>
      <w:tr w:rsidR="00D25B9F" w:rsidRPr="002C5A0F" w14:paraId="7C234BF7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1E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EAL and Early Years Team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8BC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4F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56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96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63E6409A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43FB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Commissioners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ADAC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37F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ED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E1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13 </w:t>
            </w:r>
          </w:p>
        </w:tc>
      </w:tr>
      <w:tr w:rsidR="00D25B9F" w:rsidRPr="002C5A0F" w14:paraId="21E7D1C5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DF9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Help and Partnerships Team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2DC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D1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D46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65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03A94EBC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270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and Children´s Centres Team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B4A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F1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EA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38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26E7DA18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9F0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Provision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930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89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161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86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30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 </w:t>
            </w:r>
          </w:p>
        </w:tc>
      </w:tr>
      <w:tr w:rsidR="00D25B9F" w:rsidRPr="002C5A0F" w14:paraId="2F063AD7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02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Children's Centre and Family Support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F6C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1E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33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C1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 </w:t>
            </w:r>
          </w:p>
        </w:tc>
      </w:tr>
      <w:tr w:rsidR="00D25B9F" w:rsidRPr="002C5A0F" w14:paraId="56C84C9C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033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In Need Provision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130D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15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54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D4B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36025F43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35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97DF7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11,076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0A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13,078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23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2,002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9B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303 </w:t>
            </w:r>
          </w:p>
        </w:tc>
      </w:tr>
      <w:tr w:rsidR="00D25B9F" w:rsidRPr="002C5A0F" w14:paraId="0938C84F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682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Schools Block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428C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CF9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DAC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B01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B9F" w:rsidRPr="002C5A0F" w14:paraId="25F4C7C6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463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Formula Funding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D1D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46,963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F5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46,963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94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46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1EAC0E47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26C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Growth / Falling Rolls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BB9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1,402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2D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55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-1,368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4A1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-1,368 </w:t>
            </w:r>
          </w:p>
        </w:tc>
      </w:tr>
      <w:tr w:rsidR="00D25B9F" w:rsidRPr="002C5A0F" w14:paraId="742B3D42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7CE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Trade Union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186B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C3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07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AE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043DDF0F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46A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Other (TU, Redundancy)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81EA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68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1,231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9B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53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1,013 </w:t>
            </w:r>
          </w:p>
        </w:tc>
      </w:tr>
      <w:tr w:rsidR="00D25B9F" w:rsidRPr="002C5A0F" w14:paraId="7602385B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5E2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Finance and Resources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59B3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7A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C6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1D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-20 </w:t>
            </w:r>
          </w:p>
        </w:tc>
      </w:tr>
      <w:tr w:rsidR="00D25B9F" w:rsidRPr="002C5A0F" w14:paraId="034B6643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72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Tri-Borough Portfolio Team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ADB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0A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F9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E7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100 </w:t>
            </w:r>
          </w:p>
        </w:tc>
      </w:tr>
      <w:tr w:rsidR="00D25B9F" w:rsidRPr="002C5A0F" w14:paraId="73BC1EDB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BB4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Standards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3DE6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97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B6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E76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2F45BDAB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4BB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 Fund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4666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B9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0C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A6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2287D5F5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5F7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Admissions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9B1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A5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BE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FB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2F5A5808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692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 Agency Safeguarding Hub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F6C3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74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B0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DB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3A3BB029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E1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Virtual School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CC1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ED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EE1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63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02215535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03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62CD0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49,470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BB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49,305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DF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-165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49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-275 </w:t>
            </w:r>
          </w:p>
        </w:tc>
      </w:tr>
      <w:tr w:rsidR="00D25B9F" w:rsidRPr="002C5A0F" w14:paraId="17429739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AA4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High Needs Block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BBC0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AE2" w14:textId="77777777" w:rsidR="00D25B9F" w:rsidRPr="002C5A0F" w:rsidRDefault="00D25B9F" w:rsidP="001602B6">
            <w:pPr>
              <w:ind w:left="-160" w:firstLine="1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A8A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331" w14:textId="77777777" w:rsidR="00D25B9F" w:rsidRPr="002C5A0F" w:rsidRDefault="00D25B9F" w:rsidP="001602B6">
            <w:pPr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B9F" w:rsidRPr="002C5A0F" w14:paraId="59B5DB93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6ED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Element 2 Funding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1E6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1,727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C7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1,727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E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2E7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3D5E2B93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286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Special Unit Place Funding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2CA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0E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E4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95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5A95B19D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3FC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Educational Psychology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55B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21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70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3A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44AF5DF9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63A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Top-Up Funding – Maintained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0720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6,288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03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5,336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2E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-952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D7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33 </w:t>
            </w:r>
          </w:p>
        </w:tc>
      </w:tr>
      <w:tr w:rsidR="00D25B9F" w:rsidRPr="002C5A0F" w14:paraId="5A6453BE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566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Top-Up Funding - Academy, Free, Ind.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8A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7,918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47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7,890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1C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21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45 </w:t>
            </w:r>
          </w:p>
        </w:tc>
      </w:tr>
      <w:tr w:rsidR="00D25B9F" w:rsidRPr="002C5A0F" w14:paraId="018FC64C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8EFE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Alternative Provision Commissioning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807D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98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1,161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E1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411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52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50085C19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A43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Belongings Placements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5CBD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564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269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AB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-154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5B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79C4FF67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884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Commissioning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9D3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776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11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768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DA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CDC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611CD0CA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973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Vulnerable children placements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5AF6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35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69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F7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72E4CB54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930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Business and Finance Administration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73E2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212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3917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212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AA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F4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5F6BFF86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95B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Outreach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FB0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22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579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A8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27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3BED67C2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38B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7097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A5A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0A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63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 </w:t>
            </w:r>
          </w:p>
        </w:tc>
      </w:tr>
      <w:tr w:rsidR="00D25B9F" w:rsidRPr="002C5A0F" w14:paraId="3A143E73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226" w14:textId="77777777" w:rsidR="00D25B9F" w:rsidRPr="002C5A0F" w:rsidRDefault="00D25B9F" w:rsidP="001602B6">
            <w:pPr>
              <w:ind w:left="-16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Speech and Language Therapy (SALT)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3905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238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E04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A3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-92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25F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-92 </w:t>
            </w:r>
          </w:p>
        </w:tc>
      </w:tr>
      <w:tr w:rsidR="00D25B9F" w:rsidRPr="002C5A0F" w14:paraId="4C01F19F" w14:textId="77777777" w:rsidTr="00BF3AFE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480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C9C5D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21,395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28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20,572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BB3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-823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FA8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-14 </w:t>
            </w:r>
          </w:p>
        </w:tc>
      </w:tr>
      <w:tr w:rsidR="00D25B9F" w:rsidRPr="002C5A0F" w14:paraId="4EA8B942" w14:textId="77777777" w:rsidTr="00BF3AFE">
        <w:trPr>
          <w:trHeight w:val="31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8B1" w14:textId="77777777" w:rsidR="00D25B9F" w:rsidRPr="002C5A0F" w:rsidRDefault="00D25B9F" w:rsidP="001602B6">
            <w:pPr>
              <w:ind w:left="-160"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DSG Applied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6B45F4E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81,941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053B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82,955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A231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1,014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D1202" w14:textId="77777777" w:rsidR="00D25B9F" w:rsidRPr="002C5A0F" w:rsidRDefault="00D25B9F" w:rsidP="001602B6">
            <w:pPr>
              <w:ind w:left="-16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14 </w:t>
            </w:r>
          </w:p>
        </w:tc>
      </w:tr>
    </w:tbl>
    <w:p w14:paraId="69C7B7D7" w14:textId="41EB26DD" w:rsidR="00342B17" w:rsidRPr="00277983" w:rsidRDefault="00A23B34" w:rsidP="0090441C">
      <w:pPr>
        <w:pStyle w:val="ListParagraph"/>
        <w:numPr>
          <w:ilvl w:val="0"/>
          <w:numId w:val="5"/>
        </w:numPr>
        <w:spacing w:line="360" w:lineRule="auto"/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Recommendations</w:t>
      </w:r>
    </w:p>
    <w:p w14:paraId="2DE4B316" w14:textId="77777777" w:rsidR="00342B17" w:rsidRPr="00277983" w:rsidRDefault="00342B17" w:rsidP="0090441C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277983">
        <w:rPr>
          <w:rFonts w:ascii="Verdana" w:hAnsi="Verdana"/>
        </w:rPr>
        <w:t>Schools Forum are asked to note the DSG allocation and monitoring position.</w:t>
      </w:r>
    </w:p>
    <w:p w14:paraId="39B70FC2" w14:textId="06946339" w:rsidR="007C3697" w:rsidRPr="00286A51" w:rsidRDefault="00342B17" w:rsidP="0090441C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286A51">
        <w:rPr>
          <w:rFonts w:ascii="Verdana" w:hAnsi="Verdana"/>
        </w:rPr>
        <w:t xml:space="preserve">Schools Forum are asked to note that the projected carry forward </w:t>
      </w:r>
      <w:r w:rsidR="00926E7D">
        <w:rPr>
          <w:rFonts w:ascii="Verdana" w:hAnsi="Verdana"/>
        </w:rPr>
        <w:t>is forecast to</w:t>
      </w:r>
      <w:r w:rsidRPr="00286A51">
        <w:rPr>
          <w:rFonts w:ascii="Verdana" w:hAnsi="Verdana"/>
        </w:rPr>
        <w:t xml:space="preserve"> be £</w:t>
      </w:r>
      <w:r w:rsidR="00454D88" w:rsidRPr="00286A51">
        <w:rPr>
          <w:rFonts w:ascii="Verdana" w:hAnsi="Verdana"/>
        </w:rPr>
        <w:t>5</w:t>
      </w:r>
      <w:r w:rsidR="00F47230" w:rsidRPr="00286A51">
        <w:rPr>
          <w:rFonts w:ascii="Verdana" w:hAnsi="Verdana"/>
        </w:rPr>
        <w:t>.</w:t>
      </w:r>
      <w:r w:rsidR="00454D88" w:rsidRPr="00286A51">
        <w:rPr>
          <w:rFonts w:ascii="Verdana" w:hAnsi="Verdana"/>
        </w:rPr>
        <w:t>274</w:t>
      </w:r>
      <w:r w:rsidR="00F47230" w:rsidRPr="00286A51">
        <w:rPr>
          <w:rFonts w:ascii="Verdana" w:hAnsi="Verdana"/>
        </w:rPr>
        <w:t>m</w:t>
      </w:r>
      <w:r w:rsidR="00926E7D">
        <w:rPr>
          <w:rFonts w:ascii="Verdana" w:hAnsi="Verdana"/>
        </w:rPr>
        <w:t xml:space="preserve">, </w:t>
      </w:r>
      <w:r w:rsidR="00286A51" w:rsidRPr="00286A51">
        <w:rPr>
          <w:rFonts w:ascii="Verdana" w:hAnsi="Verdana"/>
        </w:rPr>
        <w:t>down from £6.288m brought forward</w:t>
      </w:r>
      <w:r w:rsidR="00D54467">
        <w:rPr>
          <w:rFonts w:ascii="Verdana" w:hAnsi="Verdana"/>
        </w:rPr>
        <w:t xml:space="preserve"> on 1 April 2016</w:t>
      </w:r>
      <w:r w:rsidRPr="00286A51">
        <w:rPr>
          <w:rFonts w:ascii="Verdana" w:hAnsi="Verdana"/>
        </w:rPr>
        <w:t>.</w:t>
      </w:r>
    </w:p>
    <w:p w14:paraId="3EE46B3B" w14:textId="77777777" w:rsidR="00096116" w:rsidRDefault="00096116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5BF28389" w14:textId="77777777" w:rsidR="007C3697" w:rsidRDefault="007C369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01ACF517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Andrew Tagg</w:t>
      </w:r>
    </w:p>
    <w:p w14:paraId="6343306C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Head of Resources</w:t>
      </w:r>
    </w:p>
    <w:p w14:paraId="23A57A80" w14:textId="77777777" w:rsidR="00342B17" w:rsidRPr="00277983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1E59541F" w14:textId="4DE7A683" w:rsidR="00342B17" w:rsidRDefault="00D63645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</w:t>
      </w:r>
      <w:r w:rsidR="00342B17">
        <w:rPr>
          <w:rFonts w:ascii="Verdana" w:hAnsi="Verdana"/>
          <w:b/>
        </w:rPr>
        <w:t>re Chamberlain</w:t>
      </w:r>
    </w:p>
    <w:p w14:paraId="63FCF802" w14:textId="77777777" w:rsidR="00342B17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Tri-Borough Executive Director – Children’s Services</w:t>
      </w:r>
    </w:p>
    <w:p w14:paraId="7AC36141" w14:textId="77777777" w:rsidR="00342B17" w:rsidRDefault="00342B17" w:rsidP="001A7AF9">
      <w:pPr>
        <w:pStyle w:val="ListParagraph"/>
        <w:spacing w:line="360" w:lineRule="auto"/>
        <w:ind w:left="851" w:hanging="851"/>
        <w:jc w:val="center"/>
        <w:rPr>
          <w:rFonts w:ascii="Verdana" w:hAnsi="Verdana"/>
          <w:b/>
        </w:rPr>
      </w:pPr>
    </w:p>
    <w:p w14:paraId="3476F679" w14:textId="77777777" w:rsidR="00342B17" w:rsidRPr="00651958" w:rsidRDefault="00342B17" w:rsidP="001A7AF9">
      <w:pPr>
        <w:pStyle w:val="ListParagraph"/>
        <w:spacing w:line="360" w:lineRule="auto"/>
        <w:ind w:left="851" w:hanging="851"/>
        <w:rPr>
          <w:rFonts w:ascii="Verdana" w:hAnsi="Verdana"/>
        </w:rPr>
      </w:pPr>
    </w:p>
    <w:p w14:paraId="52DA3D2C" w14:textId="77777777" w:rsidR="00342B17" w:rsidRPr="00651958" w:rsidRDefault="00342B17" w:rsidP="001A7AF9">
      <w:pPr>
        <w:pStyle w:val="ListParagraph"/>
        <w:spacing w:line="360" w:lineRule="auto"/>
        <w:ind w:left="851" w:hanging="851"/>
        <w:rPr>
          <w:rFonts w:ascii="Verdana" w:hAnsi="Verdana"/>
          <w:b/>
        </w:rPr>
      </w:pPr>
      <w:r w:rsidRPr="00651958">
        <w:rPr>
          <w:rFonts w:ascii="Verdana" w:hAnsi="Verdana"/>
          <w:b/>
        </w:rPr>
        <w:t>Background Papers</w:t>
      </w:r>
    </w:p>
    <w:p w14:paraId="0386E03D" w14:textId="77777777" w:rsidR="001602B6" w:rsidRPr="00204D74" w:rsidRDefault="001602B6" w:rsidP="001602B6">
      <w:pPr>
        <w:pStyle w:val="ListParagraph"/>
        <w:numPr>
          <w:ilvl w:val="0"/>
          <w:numId w:val="7"/>
        </w:numPr>
        <w:spacing w:line="360" w:lineRule="auto"/>
        <w:ind w:left="851" w:hanging="284"/>
        <w:rPr>
          <w:rFonts w:ascii="Verdana" w:hAnsi="Verdana"/>
        </w:rPr>
      </w:pPr>
      <w:r w:rsidRPr="00204D74">
        <w:rPr>
          <w:rFonts w:ascii="Verdana" w:hAnsi="Verdana"/>
        </w:rPr>
        <w:t>DfE website – DSG Allocations 2016/17</w:t>
      </w:r>
    </w:p>
    <w:p w14:paraId="68553D7A" w14:textId="77777777" w:rsidR="001602B6" w:rsidRPr="00A07245" w:rsidRDefault="00176620" w:rsidP="001602B6">
      <w:pPr>
        <w:pStyle w:val="ListParagraph"/>
        <w:spacing w:line="360" w:lineRule="auto"/>
        <w:ind w:left="851"/>
        <w:rPr>
          <w:rFonts w:ascii="Verdana" w:hAnsi="Verdana"/>
          <w:highlight w:val="yellow"/>
        </w:rPr>
      </w:pPr>
      <w:hyperlink r:id="rId7" w:history="1">
        <w:r w:rsidR="001602B6" w:rsidRPr="00204D74">
          <w:rPr>
            <w:rStyle w:val="Hyperlink"/>
            <w:rFonts w:ascii="Verdana" w:hAnsi="Verdana"/>
          </w:rPr>
          <w:t>https://www.gov.uk/government/publications/dedicated-schools-grant-dsg-2016-to-2017</w:t>
        </w:r>
      </w:hyperlink>
    </w:p>
    <w:p w14:paraId="29246FCD" w14:textId="77777777" w:rsidR="001602B6" w:rsidRDefault="001602B6" w:rsidP="001602B6">
      <w:pPr>
        <w:spacing w:line="360" w:lineRule="auto"/>
      </w:pPr>
    </w:p>
    <w:p w14:paraId="31DCAF21" w14:textId="61B54E3A" w:rsidR="00313646" w:rsidRPr="00F47230" w:rsidRDefault="00313646" w:rsidP="001602B6">
      <w:pPr>
        <w:pStyle w:val="ListParagraph"/>
        <w:numPr>
          <w:ilvl w:val="0"/>
          <w:numId w:val="13"/>
        </w:numPr>
        <w:spacing w:line="360" w:lineRule="auto"/>
        <w:ind w:left="851" w:hanging="851"/>
        <w:rPr>
          <w:vanish/>
        </w:rPr>
      </w:pPr>
    </w:p>
    <w:sectPr w:rsidR="00313646" w:rsidRPr="00F47230" w:rsidSect="00F472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A544" w14:textId="77777777" w:rsidR="006C6859" w:rsidRDefault="006C6859" w:rsidP="00342B17">
      <w:r>
        <w:separator/>
      </w:r>
    </w:p>
  </w:endnote>
  <w:endnote w:type="continuationSeparator" w:id="0">
    <w:p w14:paraId="0D4A3698" w14:textId="77777777" w:rsidR="006C6859" w:rsidRDefault="006C6859" w:rsidP="0034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1633" w14:textId="64FCA6CD" w:rsidR="001F0ACE" w:rsidRPr="00C00D1C" w:rsidRDefault="001F0ACE" w:rsidP="001F0ACE">
    <w:pPr>
      <w:pStyle w:val="Footer"/>
      <w:jc w:val="center"/>
      <w:rPr>
        <w:rFonts w:ascii="Verdana" w:hAnsi="Verdana"/>
      </w:rPr>
    </w:pPr>
    <w:r w:rsidRPr="00C00D1C">
      <w:rPr>
        <w:rFonts w:ascii="Verdana" w:hAnsi="Verdana"/>
      </w:rPr>
      <w:t xml:space="preserve">Page </w:t>
    </w:r>
    <w:r w:rsidRPr="00C00D1C">
      <w:rPr>
        <w:rFonts w:ascii="Verdana" w:hAnsi="Verdana"/>
      </w:rPr>
      <w:fldChar w:fldCharType="begin"/>
    </w:r>
    <w:r w:rsidRPr="00C00D1C">
      <w:rPr>
        <w:rFonts w:ascii="Verdana" w:hAnsi="Verdana"/>
      </w:rPr>
      <w:instrText xml:space="preserve"> PAGE   \* MERGEFORMAT </w:instrText>
    </w:r>
    <w:r w:rsidRPr="00C00D1C">
      <w:rPr>
        <w:rFonts w:ascii="Verdana" w:hAnsi="Verdana"/>
      </w:rPr>
      <w:fldChar w:fldCharType="separate"/>
    </w:r>
    <w:r w:rsidR="00176620">
      <w:rPr>
        <w:rFonts w:ascii="Verdana" w:hAnsi="Verdana"/>
        <w:noProof/>
      </w:rPr>
      <w:t>4</w:t>
    </w:r>
    <w:r w:rsidRPr="00C00D1C">
      <w:rPr>
        <w:rFonts w:ascii="Verdana" w:hAnsi="Verdana"/>
      </w:rPr>
      <w:fldChar w:fldCharType="end"/>
    </w:r>
    <w:r w:rsidRPr="00C00D1C">
      <w:rPr>
        <w:rFonts w:ascii="Verdana" w:hAnsi="Verdana"/>
      </w:rPr>
      <w:t xml:space="preserve"> of </w:t>
    </w:r>
    <w:r w:rsidRPr="00C00D1C">
      <w:rPr>
        <w:rFonts w:ascii="Verdana" w:hAnsi="Verdana"/>
      </w:rPr>
      <w:fldChar w:fldCharType="begin"/>
    </w:r>
    <w:r w:rsidRPr="00C00D1C">
      <w:rPr>
        <w:rFonts w:ascii="Verdana" w:hAnsi="Verdana"/>
      </w:rPr>
      <w:instrText xml:space="preserve"> NUMPAGES   \* MERGEFORMAT </w:instrText>
    </w:r>
    <w:r w:rsidRPr="00C00D1C">
      <w:rPr>
        <w:rFonts w:ascii="Verdana" w:hAnsi="Verdana"/>
      </w:rPr>
      <w:fldChar w:fldCharType="separate"/>
    </w:r>
    <w:r w:rsidR="00176620">
      <w:rPr>
        <w:rFonts w:ascii="Verdana" w:hAnsi="Verdana"/>
        <w:noProof/>
      </w:rPr>
      <w:t>6</w:t>
    </w:r>
    <w:r w:rsidRPr="00C00D1C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9359" w14:textId="77777777" w:rsidR="006C6859" w:rsidRDefault="006C6859" w:rsidP="00342B17">
      <w:r>
        <w:separator/>
      </w:r>
    </w:p>
  </w:footnote>
  <w:footnote w:type="continuationSeparator" w:id="0">
    <w:p w14:paraId="0DA649C7" w14:textId="77777777" w:rsidR="006C6859" w:rsidRDefault="006C6859" w:rsidP="0034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697B"/>
    <w:multiLevelType w:val="hybridMultilevel"/>
    <w:tmpl w:val="81B6BAE6"/>
    <w:lvl w:ilvl="0" w:tplc="F1669B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14351"/>
    <w:multiLevelType w:val="hybridMultilevel"/>
    <w:tmpl w:val="7EC242B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A8052DA"/>
    <w:multiLevelType w:val="multilevel"/>
    <w:tmpl w:val="E9D40DE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4" w15:restartNumberingAfterBreak="0">
    <w:nsid w:val="36DB3DE4"/>
    <w:multiLevelType w:val="hybridMultilevel"/>
    <w:tmpl w:val="1B669802"/>
    <w:lvl w:ilvl="0" w:tplc="1714E38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DB5961"/>
    <w:multiLevelType w:val="multilevel"/>
    <w:tmpl w:val="65001B0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2A0AF4"/>
    <w:multiLevelType w:val="hybridMultilevel"/>
    <w:tmpl w:val="DD7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571"/>
    <w:multiLevelType w:val="hybridMultilevel"/>
    <w:tmpl w:val="E626D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7ED8"/>
    <w:multiLevelType w:val="multilevel"/>
    <w:tmpl w:val="060685B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C90B03"/>
    <w:multiLevelType w:val="hybridMultilevel"/>
    <w:tmpl w:val="5702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F208D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6E79D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6C687C"/>
    <w:multiLevelType w:val="hybridMultilevel"/>
    <w:tmpl w:val="DA3857DC"/>
    <w:lvl w:ilvl="0" w:tplc="DFDA5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63A3"/>
    <w:multiLevelType w:val="hybridMultilevel"/>
    <w:tmpl w:val="571431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6"/>
    <w:rsid w:val="00000A87"/>
    <w:rsid w:val="00016ABE"/>
    <w:rsid w:val="00034CDC"/>
    <w:rsid w:val="00057BAE"/>
    <w:rsid w:val="000736D7"/>
    <w:rsid w:val="00073D70"/>
    <w:rsid w:val="00075A4A"/>
    <w:rsid w:val="000764D3"/>
    <w:rsid w:val="00080B8F"/>
    <w:rsid w:val="00095957"/>
    <w:rsid w:val="00095F81"/>
    <w:rsid w:val="00096116"/>
    <w:rsid w:val="000A2441"/>
    <w:rsid w:val="000A2BB5"/>
    <w:rsid w:val="000B3657"/>
    <w:rsid w:val="000C46C4"/>
    <w:rsid w:val="000D3216"/>
    <w:rsid w:val="000D60A4"/>
    <w:rsid w:val="001602B6"/>
    <w:rsid w:val="00176620"/>
    <w:rsid w:val="001772E2"/>
    <w:rsid w:val="00184FCA"/>
    <w:rsid w:val="001A7AF9"/>
    <w:rsid w:val="001E27DC"/>
    <w:rsid w:val="001F0ACE"/>
    <w:rsid w:val="00233618"/>
    <w:rsid w:val="00244B10"/>
    <w:rsid w:val="00286A51"/>
    <w:rsid w:val="00291726"/>
    <w:rsid w:val="002C5A0F"/>
    <w:rsid w:val="00313646"/>
    <w:rsid w:val="003219F5"/>
    <w:rsid w:val="00325310"/>
    <w:rsid w:val="0033124A"/>
    <w:rsid w:val="00342B17"/>
    <w:rsid w:val="00361BE3"/>
    <w:rsid w:val="00382722"/>
    <w:rsid w:val="0039099E"/>
    <w:rsid w:val="003959BB"/>
    <w:rsid w:val="00397655"/>
    <w:rsid w:val="003A0516"/>
    <w:rsid w:val="003A0728"/>
    <w:rsid w:val="003A165A"/>
    <w:rsid w:val="003A26F7"/>
    <w:rsid w:val="003B75D9"/>
    <w:rsid w:val="003F5467"/>
    <w:rsid w:val="0040010A"/>
    <w:rsid w:val="004239A3"/>
    <w:rsid w:val="0042436C"/>
    <w:rsid w:val="00435882"/>
    <w:rsid w:val="00451A4D"/>
    <w:rsid w:val="00452DA6"/>
    <w:rsid w:val="00454D88"/>
    <w:rsid w:val="004659FA"/>
    <w:rsid w:val="0049423D"/>
    <w:rsid w:val="004A7ACB"/>
    <w:rsid w:val="004C153C"/>
    <w:rsid w:val="00524186"/>
    <w:rsid w:val="00544CFF"/>
    <w:rsid w:val="00567B23"/>
    <w:rsid w:val="0057614E"/>
    <w:rsid w:val="00595769"/>
    <w:rsid w:val="005C6880"/>
    <w:rsid w:val="005D5B91"/>
    <w:rsid w:val="00643C92"/>
    <w:rsid w:val="00644FBA"/>
    <w:rsid w:val="00650869"/>
    <w:rsid w:val="006C6859"/>
    <w:rsid w:val="006D3048"/>
    <w:rsid w:val="006F6945"/>
    <w:rsid w:val="00710296"/>
    <w:rsid w:val="00716EF9"/>
    <w:rsid w:val="0073014E"/>
    <w:rsid w:val="00733B3F"/>
    <w:rsid w:val="0073611E"/>
    <w:rsid w:val="007C3697"/>
    <w:rsid w:val="007F3343"/>
    <w:rsid w:val="00822A28"/>
    <w:rsid w:val="00824D5B"/>
    <w:rsid w:val="00844FAA"/>
    <w:rsid w:val="00864B72"/>
    <w:rsid w:val="00867513"/>
    <w:rsid w:val="00883F53"/>
    <w:rsid w:val="008909F8"/>
    <w:rsid w:val="008A49C5"/>
    <w:rsid w:val="008C7400"/>
    <w:rsid w:val="0090441C"/>
    <w:rsid w:val="00915384"/>
    <w:rsid w:val="0092687C"/>
    <w:rsid w:val="00926E7D"/>
    <w:rsid w:val="00942B96"/>
    <w:rsid w:val="00957775"/>
    <w:rsid w:val="0096392C"/>
    <w:rsid w:val="00971FCF"/>
    <w:rsid w:val="00975825"/>
    <w:rsid w:val="009936A6"/>
    <w:rsid w:val="009B2512"/>
    <w:rsid w:val="009D73D3"/>
    <w:rsid w:val="009F6804"/>
    <w:rsid w:val="00A04401"/>
    <w:rsid w:val="00A110FC"/>
    <w:rsid w:val="00A1244A"/>
    <w:rsid w:val="00A23B34"/>
    <w:rsid w:val="00A42EFB"/>
    <w:rsid w:val="00A64EC4"/>
    <w:rsid w:val="00AA0737"/>
    <w:rsid w:val="00AA52F3"/>
    <w:rsid w:val="00AE3A62"/>
    <w:rsid w:val="00AE672C"/>
    <w:rsid w:val="00B25024"/>
    <w:rsid w:val="00B55B84"/>
    <w:rsid w:val="00B72F49"/>
    <w:rsid w:val="00B778F3"/>
    <w:rsid w:val="00BD5E9A"/>
    <w:rsid w:val="00BF3AFE"/>
    <w:rsid w:val="00C00D1C"/>
    <w:rsid w:val="00C206D9"/>
    <w:rsid w:val="00C632A5"/>
    <w:rsid w:val="00C72AA7"/>
    <w:rsid w:val="00C83FA8"/>
    <w:rsid w:val="00C94419"/>
    <w:rsid w:val="00CA0157"/>
    <w:rsid w:val="00D052FA"/>
    <w:rsid w:val="00D05DD5"/>
    <w:rsid w:val="00D25B9F"/>
    <w:rsid w:val="00D477AE"/>
    <w:rsid w:val="00D54467"/>
    <w:rsid w:val="00D63645"/>
    <w:rsid w:val="00D65C85"/>
    <w:rsid w:val="00D75290"/>
    <w:rsid w:val="00D83128"/>
    <w:rsid w:val="00D90398"/>
    <w:rsid w:val="00DA25A7"/>
    <w:rsid w:val="00DA53E1"/>
    <w:rsid w:val="00DB045E"/>
    <w:rsid w:val="00DC03BE"/>
    <w:rsid w:val="00DD1D5F"/>
    <w:rsid w:val="00DF331E"/>
    <w:rsid w:val="00E02B85"/>
    <w:rsid w:val="00E07FB5"/>
    <w:rsid w:val="00E268C8"/>
    <w:rsid w:val="00E278C9"/>
    <w:rsid w:val="00E436C1"/>
    <w:rsid w:val="00E53A53"/>
    <w:rsid w:val="00E80074"/>
    <w:rsid w:val="00EF33B3"/>
    <w:rsid w:val="00EF572B"/>
    <w:rsid w:val="00F327A7"/>
    <w:rsid w:val="00F37C37"/>
    <w:rsid w:val="00F47230"/>
    <w:rsid w:val="00F72DD8"/>
    <w:rsid w:val="00FA1B46"/>
    <w:rsid w:val="00FB11AB"/>
    <w:rsid w:val="00FB5A12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B419"/>
  <w15:docId w15:val="{98B8CD46-1E00-4918-8292-ED1AA84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46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3136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646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13646"/>
    <w:rPr>
      <w:rFonts w:ascii="Verdana" w:eastAsia="Times New Roman" w:hAnsi="Verdana" w:cs="Times New Roman"/>
    </w:rPr>
  </w:style>
  <w:style w:type="paragraph" w:customStyle="1" w:styleId="Default">
    <w:name w:val="Default"/>
    <w:rsid w:val="0031364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eGrid">
    <w:name w:val="Table Grid"/>
    <w:basedOn w:val="TableNormal"/>
    <w:uiPriority w:val="59"/>
    <w:rsid w:val="0031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17"/>
  </w:style>
  <w:style w:type="paragraph" w:styleId="Footer">
    <w:name w:val="footer"/>
    <w:basedOn w:val="Normal"/>
    <w:link w:val="FooterChar"/>
    <w:uiPriority w:val="99"/>
    <w:unhideWhenUsed/>
    <w:rsid w:val="00342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17"/>
  </w:style>
  <w:style w:type="character" w:styleId="CommentReference">
    <w:name w:val="annotation reference"/>
    <w:basedOn w:val="DefaultParagraphFont"/>
    <w:uiPriority w:val="99"/>
    <w:semiHidden/>
    <w:unhideWhenUsed/>
    <w:rsid w:val="0039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edicated-schools-grant-dsg-2016-to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EDUALJU</dc:creator>
  <cp:lastModifiedBy>Verma, Vik: CS-Fin: RBKC</cp:lastModifiedBy>
  <cp:revision>40</cp:revision>
  <dcterms:created xsi:type="dcterms:W3CDTF">2016-12-29T10:40:00Z</dcterms:created>
  <dcterms:modified xsi:type="dcterms:W3CDTF">2017-01-10T12:33:00Z</dcterms:modified>
</cp:coreProperties>
</file>