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54F1" w14:textId="77777777" w:rsidR="0019728C" w:rsidRPr="000714E5" w:rsidRDefault="0019728C" w:rsidP="009E1791">
      <w:pPr>
        <w:pStyle w:val="Heading5"/>
        <w:spacing w:before="0" w:line="360" w:lineRule="auto"/>
        <w:jc w:val="right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48"/>
          <w:szCs w:val="48"/>
        </w:rPr>
        <w:t>A3</w:t>
      </w:r>
    </w:p>
    <w:p w14:paraId="79206A1D" w14:textId="77777777" w:rsidR="0089602B" w:rsidRPr="00CC27C4" w:rsidRDefault="004D253D" w:rsidP="009E1791">
      <w:pPr>
        <w:pStyle w:val="Heading4"/>
        <w:spacing w:before="0" w:line="360" w:lineRule="auto"/>
        <w:jc w:val="center"/>
        <w:rPr>
          <w:rFonts w:ascii="Verdana" w:eastAsia="Verdana" w:hAnsi="Verdana" w:cs="Verdana"/>
          <w:b w:val="0"/>
          <w:i w:val="0"/>
          <w:color w:val="auto"/>
          <w:sz w:val="24"/>
          <w:szCs w:val="24"/>
        </w:rPr>
      </w:pPr>
      <w:r w:rsidRPr="1BE8BA29">
        <w:rPr>
          <w:rFonts w:ascii="Verdana" w:eastAsia="Verdana" w:hAnsi="Verdana" w:cs="Verdana"/>
          <w:i w:val="0"/>
          <w:color w:val="auto"/>
          <w:sz w:val="24"/>
          <w:szCs w:val="24"/>
        </w:rPr>
        <w:t xml:space="preserve">CITY OF </w:t>
      </w:r>
      <w:r w:rsidR="1BE8BA29" w:rsidRPr="1BE8BA29">
        <w:rPr>
          <w:rFonts w:ascii="Verdana" w:eastAsia="Verdana" w:hAnsi="Verdana" w:cs="Verdana"/>
          <w:i w:val="0"/>
          <w:iCs w:val="0"/>
          <w:color w:val="auto"/>
          <w:sz w:val="24"/>
          <w:szCs w:val="24"/>
        </w:rPr>
        <w:t>WESTMI</w:t>
      </w:r>
      <w:r w:rsidR="00BF3FB3">
        <w:rPr>
          <w:rFonts w:ascii="Verdana" w:eastAsia="Verdana" w:hAnsi="Verdana" w:cs="Verdana"/>
          <w:i w:val="0"/>
          <w:iCs w:val="0"/>
          <w:color w:val="auto"/>
          <w:sz w:val="24"/>
          <w:szCs w:val="24"/>
        </w:rPr>
        <w:t>N</w:t>
      </w:r>
      <w:r w:rsidR="1BE8BA29" w:rsidRPr="1BE8BA29">
        <w:rPr>
          <w:rFonts w:ascii="Verdana" w:eastAsia="Verdana" w:hAnsi="Verdana" w:cs="Verdana"/>
          <w:i w:val="0"/>
          <w:iCs w:val="0"/>
          <w:color w:val="auto"/>
          <w:sz w:val="24"/>
          <w:szCs w:val="24"/>
        </w:rPr>
        <w:t>STER</w:t>
      </w:r>
    </w:p>
    <w:p w14:paraId="1E86C116" w14:textId="11A7C264" w:rsidR="0089602B" w:rsidRPr="00001415" w:rsidRDefault="0089602B" w:rsidP="009E1791">
      <w:pPr>
        <w:pStyle w:val="Heading4"/>
        <w:spacing w:before="0" w:line="360" w:lineRule="auto"/>
        <w:jc w:val="center"/>
        <w:rPr>
          <w:rFonts w:ascii="Verdana" w:hAnsi="Verdana"/>
          <w:b w:val="0"/>
          <w:bCs w:val="0"/>
          <w:i w:val="0"/>
          <w:iCs w:val="0"/>
          <w:color w:val="auto"/>
          <w:sz w:val="24"/>
          <w:szCs w:val="24"/>
        </w:rPr>
      </w:pPr>
      <w:r w:rsidRPr="00001415">
        <w:rPr>
          <w:rFonts w:ascii="Verdana" w:hAnsi="Verdana"/>
          <w:i w:val="0"/>
          <w:iCs w:val="0"/>
          <w:color w:val="auto"/>
          <w:sz w:val="24"/>
          <w:szCs w:val="24"/>
        </w:rPr>
        <w:t xml:space="preserve">SCHOOLS’ FORUM </w:t>
      </w:r>
      <w:r w:rsidR="004B3FCF">
        <w:rPr>
          <w:rFonts w:ascii="Verdana" w:hAnsi="Verdana"/>
          <w:i w:val="0"/>
          <w:color w:val="000000"/>
          <w:sz w:val="24"/>
        </w:rPr>
        <w:t>16</w:t>
      </w:r>
      <w:r w:rsidR="00001415" w:rsidRPr="00001415">
        <w:rPr>
          <w:rFonts w:ascii="Verdana" w:hAnsi="Verdana"/>
          <w:i w:val="0"/>
          <w:color w:val="000000"/>
          <w:sz w:val="24"/>
        </w:rPr>
        <w:t xml:space="preserve"> JANUARY</w:t>
      </w:r>
      <w:r w:rsidR="00001415" w:rsidRPr="00001415">
        <w:rPr>
          <w:rFonts w:ascii="Verdana" w:hAnsi="Verdana"/>
          <w:color w:val="000000"/>
          <w:sz w:val="24"/>
        </w:rPr>
        <w:t xml:space="preserve"> </w:t>
      </w:r>
      <w:r w:rsidR="00150ACA">
        <w:rPr>
          <w:rFonts w:ascii="Verdana" w:hAnsi="Verdana"/>
          <w:i w:val="0"/>
          <w:color w:val="000000"/>
          <w:sz w:val="24"/>
        </w:rPr>
        <w:t>2017</w:t>
      </w:r>
    </w:p>
    <w:p w14:paraId="46A51024" w14:textId="77777777" w:rsidR="0089602B" w:rsidRPr="00CC27C4" w:rsidRDefault="0089602B" w:rsidP="009E1791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CC27C4">
        <w:rPr>
          <w:rFonts w:ascii="Verdana" w:hAnsi="Verdana" w:cs="Arial"/>
          <w:b/>
          <w:sz w:val="24"/>
          <w:szCs w:val="24"/>
        </w:rPr>
        <w:t xml:space="preserve">REPORT BY THE HEAD OF </w:t>
      </w:r>
      <w:r w:rsidR="00593E6D" w:rsidRPr="00CC27C4">
        <w:rPr>
          <w:rFonts w:ascii="Verdana" w:hAnsi="Verdana" w:cs="Arial"/>
          <w:b/>
          <w:sz w:val="24"/>
          <w:szCs w:val="24"/>
        </w:rPr>
        <w:t>RESOURCES</w:t>
      </w:r>
    </w:p>
    <w:p w14:paraId="69712A6C" w14:textId="77777777" w:rsidR="0089602B" w:rsidRPr="005E6B8F" w:rsidRDefault="00150ACA" w:rsidP="009E1791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DSG 2017/18</w:t>
      </w:r>
      <w:r w:rsidR="004653A5" w:rsidRPr="005E6B8F">
        <w:rPr>
          <w:rFonts w:ascii="Verdana" w:hAnsi="Verdana" w:cs="Arial"/>
          <w:b/>
          <w:sz w:val="24"/>
          <w:szCs w:val="24"/>
        </w:rPr>
        <w:t xml:space="preserve"> </w:t>
      </w:r>
      <w:r w:rsidR="005E6B8F">
        <w:rPr>
          <w:rFonts w:ascii="Verdana" w:hAnsi="Verdana" w:cs="Arial"/>
          <w:b/>
          <w:sz w:val="24"/>
          <w:szCs w:val="24"/>
        </w:rPr>
        <w:t>AND</w:t>
      </w:r>
      <w:r w:rsidR="004653A5" w:rsidRPr="005E6B8F">
        <w:rPr>
          <w:rFonts w:ascii="Verdana" w:hAnsi="Verdana" w:cs="Arial"/>
          <w:b/>
          <w:sz w:val="24"/>
          <w:szCs w:val="24"/>
        </w:rPr>
        <w:t xml:space="preserve"> L</w:t>
      </w:r>
      <w:r w:rsidR="005E6B8F">
        <w:rPr>
          <w:rFonts w:ascii="Verdana" w:hAnsi="Verdana" w:cs="Arial"/>
          <w:b/>
          <w:sz w:val="24"/>
          <w:szCs w:val="24"/>
        </w:rPr>
        <w:t>OCAL SCHOOLS FUNDING FORMULA</w:t>
      </w:r>
      <w:r w:rsidR="004653A5" w:rsidRPr="005E6B8F">
        <w:rPr>
          <w:rFonts w:ascii="Verdana" w:hAnsi="Verdana" w:cs="Arial"/>
          <w:b/>
          <w:sz w:val="24"/>
          <w:szCs w:val="24"/>
        </w:rPr>
        <w:t xml:space="preserve">  </w:t>
      </w:r>
    </w:p>
    <w:p w14:paraId="35755C02" w14:textId="77777777" w:rsidR="00CC27C4" w:rsidRPr="00CC27C4" w:rsidRDefault="00CC27C4" w:rsidP="009E1791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43F4" w14:paraId="4DB1B2F4" w14:textId="77777777" w:rsidTr="000743F4">
        <w:tc>
          <w:tcPr>
            <w:tcW w:w="9016" w:type="dxa"/>
          </w:tcPr>
          <w:p w14:paraId="72578C58" w14:textId="77777777" w:rsidR="000743F4" w:rsidRPr="00FA03D7" w:rsidRDefault="000743F4" w:rsidP="001A73E5">
            <w:pPr>
              <w:spacing w:after="0"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  <w:r w:rsidRPr="00FA03D7">
              <w:rPr>
                <w:rFonts w:ascii="Verdana" w:hAnsi="Verdana" w:cs="Calibri"/>
                <w:b/>
                <w:sz w:val="24"/>
                <w:szCs w:val="24"/>
              </w:rPr>
              <w:t>Purpose of the report</w:t>
            </w:r>
          </w:p>
          <w:p w14:paraId="23B00115" w14:textId="77777777" w:rsidR="000743F4" w:rsidRPr="00FA03D7" w:rsidRDefault="000743F4" w:rsidP="001A73E5">
            <w:pPr>
              <w:spacing w:after="0" w:line="360" w:lineRule="auto"/>
              <w:ind w:right="278"/>
              <w:rPr>
                <w:rFonts w:ascii="Verdana" w:hAnsi="Verdana" w:cs="Arial"/>
                <w:sz w:val="24"/>
                <w:szCs w:val="24"/>
              </w:rPr>
            </w:pPr>
            <w:r w:rsidRPr="00FA03D7">
              <w:rPr>
                <w:rFonts w:ascii="Verdana" w:hAnsi="Verdana" w:cs="Arial"/>
                <w:sz w:val="24"/>
                <w:szCs w:val="24"/>
              </w:rPr>
              <w:t>This report:</w:t>
            </w:r>
          </w:p>
          <w:p w14:paraId="322658DF" w14:textId="77777777" w:rsidR="000743F4" w:rsidRPr="00FA03D7" w:rsidRDefault="000743F4" w:rsidP="001A73E5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567" w:right="278" w:hanging="295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A03D7">
              <w:rPr>
                <w:rFonts w:ascii="Verdana" w:hAnsi="Verdana" w:cs="Arial"/>
                <w:sz w:val="24"/>
                <w:szCs w:val="24"/>
              </w:rPr>
              <w:t>updates the Schools Forum on the provisional Dedicated Schools Grant (DSG) allocation for 2017/18; and</w:t>
            </w:r>
          </w:p>
          <w:p w14:paraId="042C3F7A" w14:textId="77777777" w:rsidR="000743F4" w:rsidRPr="00FA03D7" w:rsidRDefault="000743F4" w:rsidP="001A73E5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567" w:right="278" w:hanging="295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A03D7">
              <w:rPr>
                <w:rFonts w:ascii="Verdana" w:hAnsi="Verdana" w:cs="Arial"/>
                <w:sz w:val="24"/>
                <w:szCs w:val="24"/>
              </w:rPr>
              <w:t xml:space="preserve">presents the 2017/18 Authority </w:t>
            </w:r>
            <w:proofErr w:type="spellStart"/>
            <w:r w:rsidRPr="00FA03D7">
              <w:rPr>
                <w:rFonts w:ascii="Verdana" w:hAnsi="Verdana" w:cs="Arial"/>
                <w:sz w:val="24"/>
                <w:szCs w:val="24"/>
              </w:rPr>
              <w:t>Proforma</w:t>
            </w:r>
            <w:proofErr w:type="spellEnd"/>
            <w:r w:rsidRPr="00FA03D7">
              <w:rPr>
                <w:rFonts w:ascii="Verdana" w:hAnsi="Verdana" w:cs="Arial"/>
                <w:sz w:val="24"/>
                <w:szCs w:val="24"/>
              </w:rPr>
              <w:t xml:space="preserve"> Tool (APT) for approval, to then be submitted to the Department for Education (DfE).</w:t>
            </w:r>
          </w:p>
          <w:p w14:paraId="308BE458" w14:textId="77777777" w:rsidR="000743F4" w:rsidRPr="00FA03D7" w:rsidRDefault="000743F4" w:rsidP="001A73E5">
            <w:pPr>
              <w:pStyle w:val="ListParagraph"/>
              <w:spacing w:after="0" w:line="360" w:lineRule="auto"/>
              <w:ind w:left="567" w:right="278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  <w:p w14:paraId="01C3C037" w14:textId="77777777" w:rsidR="000743F4" w:rsidRDefault="000743F4" w:rsidP="001A73E5">
            <w:pPr>
              <w:spacing w:after="0" w:line="36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FA03D7">
              <w:rPr>
                <w:rFonts w:ascii="Verdana" w:hAnsi="Verdana" w:cs="Arial"/>
                <w:b/>
                <w:sz w:val="24"/>
                <w:szCs w:val="24"/>
              </w:rPr>
              <w:t>FOR INFORMATION AND APPROVAL</w:t>
            </w:r>
          </w:p>
        </w:tc>
      </w:tr>
    </w:tbl>
    <w:p w14:paraId="352B2498" w14:textId="77777777" w:rsidR="0089602B" w:rsidRPr="00CC27C4" w:rsidRDefault="0089602B" w:rsidP="001A73E5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53279F8D" w14:textId="77777777" w:rsidR="0089602B" w:rsidRPr="00FA03D7" w:rsidRDefault="004F0242" w:rsidP="009F0734">
      <w:pPr>
        <w:pStyle w:val="ListParagraph"/>
        <w:numPr>
          <w:ilvl w:val="0"/>
          <w:numId w:val="1"/>
        </w:numPr>
        <w:spacing w:after="0" w:line="360" w:lineRule="auto"/>
        <w:ind w:left="851" w:hanging="851"/>
        <w:jc w:val="both"/>
        <w:rPr>
          <w:rFonts w:ascii="Verdana" w:hAnsi="Verdana" w:cs="Arial"/>
          <w:b/>
          <w:sz w:val="24"/>
          <w:szCs w:val="24"/>
        </w:rPr>
      </w:pPr>
      <w:r w:rsidRPr="00FA03D7">
        <w:rPr>
          <w:rFonts w:ascii="Verdana" w:hAnsi="Verdana" w:cs="Arial"/>
          <w:b/>
          <w:sz w:val="24"/>
          <w:szCs w:val="24"/>
        </w:rPr>
        <w:t>Introduction</w:t>
      </w:r>
    </w:p>
    <w:p w14:paraId="3220D73D" w14:textId="77777777" w:rsidR="009E45E6" w:rsidRPr="00FA03D7" w:rsidRDefault="009E45E6" w:rsidP="009F0734">
      <w:pPr>
        <w:pStyle w:val="ListParagraph"/>
        <w:numPr>
          <w:ilvl w:val="1"/>
          <w:numId w:val="1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This report will update the Schools Forum on the provisional Dedicated Schools Grant (DSG) 2017/18, which was announced on the 20</w:t>
      </w:r>
      <w:r w:rsidRPr="00FA03D7">
        <w:rPr>
          <w:rFonts w:ascii="Verdana" w:hAnsi="Verdana" w:cs="Arial"/>
          <w:sz w:val="24"/>
          <w:szCs w:val="24"/>
          <w:vertAlign w:val="superscript"/>
        </w:rPr>
        <w:t>th</w:t>
      </w:r>
      <w:r w:rsidRPr="00FA03D7">
        <w:rPr>
          <w:rFonts w:ascii="Verdana" w:hAnsi="Verdana" w:cs="Arial"/>
          <w:sz w:val="24"/>
          <w:szCs w:val="24"/>
        </w:rPr>
        <w:t xml:space="preserve"> December 2016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Pr="00FA03D7">
        <w:rPr>
          <w:rFonts w:ascii="Verdana" w:hAnsi="Verdana" w:cs="Arial"/>
          <w:sz w:val="24"/>
          <w:szCs w:val="24"/>
        </w:rPr>
        <w:t xml:space="preserve">The report will also present the findings of the 2017/18 Authority </w:t>
      </w:r>
      <w:proofErr w:type="spellStart"/>
      <w:r w:rsidRPr="00FA03D7">
        <w:rPr>
          <w:rFonts w:ascii="Verdana" w:hAnsi="Verdana" w:cs="Arial"/>
          <w:sz w:val="24"/>
          <w:szCs w:val="24"/>
        </w:rPr>
        <w:t>Proforma</w:t>
      </w:r>
      <w:proofErr w:type="spellEnd"/>
      <w:r w:rsidRPr="00FA03D7">
        <w:rPr>
          <w:rFonts w:ascii="Verdana" w:hAnsi="Verdana" w:cs="Arial"/>
          <w:sz w:val="24"/>
          <w:szCs w:val="24"/>
        </w:rPr>
        <w:t xml:space="preserve"> Tool (APT) which has been updated with October 2016 census data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30EE1208" w14:textId="77777777" w:rsidR="009E45E6" w:rsidRPr="00FA03D7" w:rsidRDefault="009E45E6" w:rsidP="009F0734">
      <w:pPr>
        <w:pStyle w:val="ListParagraph"/>
        <w:numPr>
          <w:ilvl w:val="1"/>
          <w:numId w:val="1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 xml:space="preserve">The DSG is split in to three funding blocks: </w:t>
      </w:r>
      <w:proofErr w:type="gramStart"/>
      <w:r w:rsidRPr="00FA03D7">
        <w:rPr>
          <w:rFonts w:ascii="Verdana" w:hAnsi="Verdana" w:cs="Arial"/>
          <w:sz w:val="24"/>
          <w:szCs w:val="24"/>
        </w:rPr>
        <w:t>the</w:t>
      </w:r>
      <w:proofErr w:type="gramEnd"/>
      <w:r w:rsidRPr="00FA03D7">
        <w:rPr>
          <w:rFonts w:ascii="Verdana" w:hAnsi="Verdana" w:cs="Arial"/>
          <w:sz w:val="24"/>
          <w:szCs w:val="24"/>
        </w:rPr>
        <w:t xml:space="preserve"> </w:t>
      </w:r>
      <w:r w:rsidR="00570599" w:rsidRPr="00FA03D7">
        <w:rPr>
          <w:rFonts w:ascii="Verdana" w:hAnsi="Verdana" w:cs="Arial"/>
          <w:sz w:val="24"/>
          <w:szCs w:val="24"/>
        </w:rPr>
        <w:t>Schools Block</w:t>
      </w:r>
      <w:r w:rsidRPr="00FA03D7">
        <w:rPr>
          <w:rFonts w:ascii="Verdana" w:hAnsi="Verdana" w:cs="Arial"/>
          <w:sz w:val="24"/>
          <w:szCs w:val="24"/>
        </w:rPr>
        <w:t xml:space="preserve">, </w:t>
      </w:r>
      <w:r w:rsidR="00570599" w:rsidRPr="00FA03D7">
        <w:rPr>
          <w:rFonts w:ascii="Verdana" w:hAnsi="Verdana" w:cs="Arial"/>
          <w:sz w:val="24"/>
          <w:szCs w:val="24"/>
        </w:rPr>
        <w:t>High Needs</w:t>
      </w:r>
      <w:r w:rsidRPr="00FA03D7">
        <w:rPr>
          <w:rFonts w:ascii="Verdana" w:hAnsi="Verdana" w:cs="Arial"/>
          <w:sz w:val="24"/>
          <w:szCs w:val="24"/>
        </w:rPr>
        <w:t xml:space="preserve"> and </w:t>
      </w:r>
      <w:r w:rsidR="00570599" w:rsidRPr="00FA03D7">
        <w:rPr>
          <w:rFonts w:ascii="Verdana" w:hAnsi="Verdana" w:cs="Arial"/>
          <w:sz w:val="24"/>
          <w:szCs w:val="24"/>
        </w:rPr>
        <w:t xml:space="preserve">Early Years.  </w:t>
      </w:r>
    </w:p>
    <w:p w14:paraId="383692B3" w14:textId="77777777" w:rsidR="00A27ECC" w:rsidRPr="00FA03D7" w:rsidRDefault="004653A5" w:rsidP="009F0734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 xml:space="preserve">    </w:t>
      </w:r>
      <w:r w:rsidR="00A27ECC" w:rsidRPr="00FA03D7">
        <w:rPr>
          <w:rFonts w:ascii="Verdana" w:hAnsi="Verdana" w:cs="Arial"/>
          <w:sz w:val="24"/>
          <w:szCs w:val="24"/>
        </w:rPr>
        <w:t xml:space="preserve"> </w:t>
      </w:r>
    </w:p>
    <w:p w14:paraId="20A6B60B" w14:textId="77777777" w:rsidR="003A4B47" w:rsidRPr="00FA03D7" w:rsidRDefault="003A4B47" w:rsidP="009F0734">
      <w:pPr>
        <w:pStyle w:val="ListParagraph"/>
        <w:numPr>
          <w:ilvl w:val="0"/>
          <w:numId w:val="1"/>
        </w:numPr>
        <w:spacing w:after="0" w:line="360" w:lineRule="auto"/>
        <w:ind w:left="851" w:hanging="851"/>
        <w:jc w:val="both"/>
        <w:rPr>
          <w:rFonts w:ascii="Verdana" w:hAnsi="Verdana" w:cs="Arial"/>
          <w:b/>
          <w:sz w:val="24"/>
          <w:szCs w:val="24"/>
        </w:rPr>
      </w:pPr>
      <w:r w:rsidRPr="00FA03D7">
        <w:rPr>
          <w:rFonts w:ascii="Verdana" w:hAnsi="Verdana" w:cs="Arial"/>
          <w:b/>
          <w:sz w:val="24"/>
          <w:szCs w:val="24"/>
        </w:rPr>
        <w:t>2</w:t>
      </w:r>
      <w:r w:rsidR="0015770C" w:rsidRPr="00FA03D7">
        <w:rPr>
          <w:rFonts w:ascii="Verdana" w:hAnsi="Verdana" w:cs="Arial"/>
          <w:b/>
          <w:sz w:val="24"/>
          <w:szCs w:val="24"/>
        </w:rPr>
        <w:t>017/18</w:t>
      </w:r>
      <w:r w:rsidRPr="00FA03D7">
        <w:rPr>
          <w:rFonts w:ascii="Verdana" w:hAnsi="Verdana" w:cs="Arial"/>
          <w:b/>
          <w:sz w:val="24"/>
          <w:szCs w:val="24"/>
        </w:rPr>
        <w:t xml:space="preserve"> </w:t>
      </w:r>
      <w:r w:rsidR="00540DE3" w:rsidRPr="00FA03D7">
        <w:rPr>
          <w:rFonts w:ascii="Verdana" w:hAnsi="Verdana" w:cs="Arial"/>
          <w:b/>
          <w:sz w:val="24"/>
          <w:szCs w:val="24"/>
        </w:rPr>
        <w:t>DSG</w:t>
      </w:r>
    </w:p>
    <w:p w14:paraId="36A295BE" w14:textId="77777777" w:rsidR="009E45E6" w:rsidRPr="00FA03D7" w:rsidRDefault="009E45E6" w:rsidP="009F0734">
      <w:pPr>
        <w:pStyle w:val="ListParagraph"/>
        <w:numPr>
          <w:ilvl w:val="1"/>
          <w:numId w:val="1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 xml:space="preserve">The total provisional DSG </w:t>
      </w:r>
      <w:r w:rsidR="009C2A7D" w:rsidRPr="00FA03D7">
        <w:rPr>
          <w:rFonts w:ascii="Verdana" w:hAnsi="Verdana" w:cs="Arial"/>
          <w:sz w:val="24"/>
          <w:szCs w:val="24"/>
        </w:rPr>
        <w:t>has increased by £3</w:t>
      </w:r>
      <w:r w:rsidRPr="00FA03D7">
        <w:rPr>
          <w:rFonts w:ascii="Verdana" w:hAnsi="Verdana" w:cs="Arial"/>
          <w:sz w:val="24"/>
          <w:szCs w:val="24"/>
        </w:rPr>
        <w:t>.</w:t>
      </w:r>
      <w:r w:rsidR="009C2A7D" w:rsidRPr="00FA03D7">
        <w:rPr>
          <w:rFonts w:ascii="Verdana" w:hAnsi="Verdana" w:cs="Arial"/>
          <w:sz w:val="24"/>
          <w:szCs w:val="24"/>
        </w:rPr>
        <w:t>20</w:t>
      </w:r>
      <w:r w:rsidRPr="00FA03D7">
        <w:rPr>
          <w:rFonts w:ascii="Verdana" w:hAnsi="Verdana" w:cs="Arial"/>
          <w:sz w:val="24"/>
          <w:szCs w:val="24"/>
        </w:rPr>
        <w:t>m, from £148.</w:t>
      </w:r>
      <w:r w:rsidR="009C2A7D" w:rsidRPr="00FA03D7">
        <w:rPr>
          <w:rFonts w:ascii="Verdana" w:hAnsi="Verdana" w:cs="Arial"/>
          <w:sz w:val="24"/>
          <w:szCs w:val="24"/>
        </w:rPr>
        <w:t>17</w:t>
      </w:r>
      <w:r w:rsidRPr="00FA03D7">
        <w:rPr>
          <w:rFonts w:ascii="Verdana" w:hAnsi="Verdana" w:cs="Arial"/>
          <w:sz w:val="24"/>
          <w:szCs w:val="24"/>
        </w:rPr>
        <w:t>m to £151.38m, in 2017/18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16577A62" w14:textId="77777777" w:rsidR="009E45E6" w:rsidRPr="00FA03D7" w:rsidRDefault="009E45E6" w:rsidP="009F0734">
      <w:pPr>
        <w:pStyle w:val="ListParagraph"/>
        <w:numPr>
          <w:ilvl w:val="1"/>
          <w:numId w:val="1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A comparison of the 2016/17 and 2017/18 allocations by funding block is set out in Table 1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Pr="00FA03D7">
        <w:rPr>
          <w:rFonts w:ascii="Verdana" w:hAnsi="Verdana" w:cs="Arial"/>
          <w:sz w:val="24"/>
          <w:szCs w:val="24"/>
        </w:rPr>
        <w:t xml:space="preserve">Detailed analysis of the causes of </w:t>
      </w:r>
      <w:r w:rsidR="00347299" w:rsidRPr="00FA03D7">
        <w:rPr>
          <w:rFonts w:ascii="Verdana" w:hAnsi="Verdana" w:cs="Arial"/>
          <w:sz w:val="24"/>
          <w:szCs w:val="24"/>
        </w:rPr>
        <w:t xml:space="preserve">any </w:t>
      </w:r>
      <w:r w:rsidRPr="00FA03D7">
        <w:rPr>
          <w:rFonts w:ascii="Verdana" w:hAnsi="Verdana" w:cs="Arial"/>
          <w:sz w:val="24"/>
          <w:szCs w:val="24"/>
        </w:rPr>
        <w:t>variation are set out in 2.3 – 2.5.</w:t>
      </w:r>
    </w:p>
    <w:p w14:paraId="34FECBB5" w14:textId="77777777" w:rsidR="0001547B" w:rsidRDefault="0001547B" w:rsidP="0001547B">
      <w:pPr>
        <w:pStyle w:val="ListParagraph"/>
        <w:spacing w:after="0" w:line="360" w:lineRule="auto"/>
        <w:ind w:left="851"/>
        <w:jc w:val="both"/>
        <w:rPr>
          <w:rFonts w:ascii="Verdana" w:hAnsi="Verdana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7"/>
        <w:gridCol w:w="1135"/>
        <w:gridCol w:w="135"/>
        <w:gridCol w:w="998"/>
        <w:gridCol w:w="274"/>
        <w:gridCol w:w="859"/>
        <w:gridCol w:w="412"/>
        <w:gridCol w:w="1273"/>
        <w:gridCol w:w="2663"/>
      </w:tblGrid>
      <w:tr w:rsidR="00347299" w:rsidRPr="008C64F2" w14:paraId="057A9CB8" w14:textId="77777777" w:rsidTr="00347299">
        <w:trPr>
          <w:trHeight w:val="445"/>
        </w:trPr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688F" w14:textId="77777777" w:rsidR="00347299" w:rsidRPr="008C64F2" w:rsidRDefault="00347299" w:rsidP="005646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Table 1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0239" w14:textId="77777777" w:rsidR="00347299" w:rsidRPr="008C64F2" w:rsidRDefault="00347299" w:rsidP="005646C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4177" w14:textId="77777777" w:rsidR="00347299" w:rsidRPr="008C64F2" w:rsidRDefault="00347299" w:rsidP="005646C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F3658" w14:textId="77777777" w:rsidR="00347299" w:rsidRPr="008C64F2" w:rsidRDefault="00347299" w:rsidP="005646C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85B8" w14:textId="77777777" w:rsidR="00347299" w:rsidRPr="008C64F2" w:rsidRDefault="00347299" w:rsidP="005646C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347299" w:rsidRPr="008C64F2" w14:paraId="02CD3EC0" w14:textId="77777777" w:rsidTr="00347299">
        <w:trPr>
          <w:trHeight w:val="42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DAED27" w14:textId="77777777" w:rsidR="00347299" w:rsidRPr="008C64F2" w:rsidRDefault="00347299" w:rsidP="005646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Funding Blocks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C8C561" w14:textId="77777777" w:rsidR="00347299" w:rsidRPr="008C64F2" w:rsidRDefault="00347299" w:rsidP="005646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2016/17</w:t>
            </w:r>
          </w:p>
          <w:p w14:paraId="3948EB16" w14:textId="77777777" w:rsidR="00347299" w:rsidRPr="008C64F2" w:rsidRDefault="00347299" w:rsidP="005646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(£m)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6F8475" w14:textId="77777777" w:rsidR="00347299" w:rsidRPr="008C64F2" w:rsidRDefault="00347299" w:rsidP="005646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2017/18 (£m)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3951B2" w14:textId="77777777" w:rsidR="00347299" w:rsidRPr="008C64F2" w:rsidRDefault="00347299" w:rsidP="005646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Variance (£m)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007AA" w14:textId="77777777" w:rsidR="00347299" w:rsidRPr="008C64F2" w:rsidRDefault="00347299" w:rsidP="005646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% change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32AAC0" w14:textId="77777777" w:rsidR="00347299" w:rsidRPr="008C64F2" w:rsidRDefault="00347299" w:rsidP="005646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347299" w:rsidRPr="008C64F2" w14:paraId="0BCFF4D6" w14:textId="77777777" w:rsidTr="00347299">
        <w:trPr>
          <w:trHeight w:val="763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0BAB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color w:val="000000"/>
                <w:lang w:eastAsia="en-GB"/>
              </w:rPr>
              <w:t>Schools Block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55047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color w:val="000000"/>
                <w:lang w:eastAsia="en-GB"/>
              </w:rPr>
              <w:t>112.50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8444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color w:val="000000"/>
                <w:lang w:eastAsia="en-GB"/>
              </w:rPr>
              <w:t>112.05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01B1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color w:val="000000"/>
                <w:lang w:eastAsia="en-GB"/>
              </w:rPr>
              <w:t>-0.45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DA6BD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color w:val="000000"/>
                <w:lang w:eastAsia="en-GB"/>
              </w:rPr>
              <w:t>-0.40%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666B" w14:textId="77777777" w:rsidR="00347299" w:rsidRPr="008C64F2" w:rsidRDefault="00570599" w:rsidP="000743F4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color w:val="000000"/>
                <w:lang w:eastAsia="en-GB"/>
              </w:rPr>
              <w:t>Schools b</w:t>
            </w:r>
            <w:r w:rsidR="00347299" w:rsidRPr="008C64F2">
              <w:rPr>
                <w:rFonts w:eastAsia="Times New Roman" w:cstheme="minorHAnsi"/>
                <w:bCs/>
                <w:iCs/>
                <w:color w:val="000000"/>
                <w:lang w:eastAsia="en-GB"/>
              </w:rPr>
              <w:t>lock is before recoupment to facilitate like for like comparison</w:t>
            </w:r>
          </w:p>
        </w:tc>
      </w:tr>
      <w:tr w:rsidR="00347299" w:rsidRPr="008C64F2" w14:paraId="21F18D50" w14:textId="77777777" w:rsidTr="00347299">
        <w:trPr>
          <w:trHeight w:val="42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60AD" w14:textId="77777777" w:rsidR="00347299" w:rsidRPr="008C64F2" w:rsidRDefault="00570599" w:rsidP="0034729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High Needs</w:t>
            </w:r>
            <w:r w:rsidR="00347299" w:rsidRPr="008C64F2">
              <w:rPr>
                <w:rFonts w:eastAsia="Times New Roman" w:cstheme="minorHAnsi"/>
                <w:color w:val="000000"/>
                <w:lang w:eastAsia="en-GB"/>
              </w:rPr>
              <w:t xml:space="preserve"> Block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9A9C1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C64F2">
              <w:rPr>
                <w:rFonts w:eastAsia="Times New Roman" w:cstheme="minorHAnsi"/>
                <w:lang w:eastAsia="en-GB"/>
              </w:rPr>
              <w:t>24.23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5A4F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color w:val="000000"/>
                <w:lang w:eastAsia="en-GB"/>
              </w:rPr>
              <w:t>24.76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52A7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color w:val="000000"/>
                <w:lang w:eastAsia="en-GB"/>
              </w:rPr>
              <w:t>+0.53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2B538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+2.19%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1C68" w14:textId="77777777" w:rsidR="00347299" w:rsidRPr="008C64F2" w:rsidRDefault="00347299" w:rsidP="000743F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Includes transfer of 0.48m from Post 16 </w:t>
            </w:r>
            <w:r w:rsidR="00570599">
              <w:rPr>
                <w:rFonts w:eastAsia="Times New Roman" w:cstheme="minorHAnsi"/>
                <w:bCs/>
                <w:color w:val="000000"/>
                <w:lang w:eastAsia="en-GB"/>
              </w:rPr>
              <w:t>High Needs</w:t>
            </w:r>
            <w:r w:rsidRPr="008C64F2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 Block</w:t>
            </w:r>
          </w:p>
        </w:tc>
      </w:tr>
      <w:tr w:rsidR="00347299" w:rsidRPr="008C64F2" w14:paraId="7795FE22" w14:textId="77777777" w:rsidTr="00347299">
        <w:trPr>
          <w:trHeight w:val="721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ED22" w14:textId="77777777" w:rsidR="00347299" w:rsidRPr="008C64F2" w:rsidRDefault="00570599" w:rsidP="0034729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Early Years</w:t>
            </w:r>
            <w:r w:rsidR="00347299" w:rsidRPr="008C64F2">
              <w:rPr>
                <w:rFonts w:eastAsia="Times New Roman" w:cstheme="minorHAnsi"/>
                <w:color w:val="000000"/>
                <w:lang w:eastAsia="en-GB"/>
              </w:rPr>
              <w:t xml:space="preserve"> Block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41E99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color w:val="000000"/>
                <w:lang w:eastAsia="en-GB"/>
              </w:rPr>
              <w:t>11.44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A6FB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color w:val="000000"/>
                <w:lang w:eastAsia="en-GB"/>
              </w:rPr>
              <w:t>14.56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A507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color w:val="000000"/>
                <w:lang w:eastAsia="en-GB"/>
              </w:rPr>
              <w:t>+3.12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E013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color w:val="000000"/>
                <w:lang w:eastAsia="en-GB"/>
              </w:rPr>
              <w:t>+27.27%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0D47" w14:textId="77777777" w:rsidR="00347299" w:rsidRPr="008C64F2" w:rsidRDefault="00347299" w:rsidP="000743F4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bCs/>
                <w:iCs/>
                <w:color w:val="000000"/>
                <w:lang w:eastAsia="en-GB"/>
              </w:rPr>
              <w:t>New funding formula introduced in 2017/18.</w:t>
            </w:r>
          </w:p>
        </w:tc>
      </w:tr>
      <w:tr w:rsidR="00347299" w:rsidRPr="008C64F2" w14:paraId="2139CC08" w14:textId="77777777" w:rsidTr="00347299">
        <w:trPr>
          <w:trHeight w:val="42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5809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b/>
                <w:color w:val="000000"/>
                <w:lang w:eastAsia="en-GB"/>
              </w:rPr>
              <w:t>Total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52A82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b/>
                <w:color w:val="000000"/>
                <w:lang w:eastAsia="en-GB"/>
              </w:rPr>
              <w:t>148.17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A3E0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b/>
                <w:color w:val="000000"/>
                <w:lang w:eastAsia="en-GB"/>
              </w:rPr>
              <w:t>151.37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7C2BD" w14:textId="77777777" w:rsidR="00347299" w:rsidRPr="008C64F2" w:rsidRDefault="00347299" w:rsidP="0034729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b/>
                <w:color w:val="000000"/>
                <w:lang w:eastAsia="en-GB"/>
              </w:rPr>
              <w:t>+3.20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67199" w14:textId="77777777" w:rsidR="00347299" w:rsidRPr="00347299" w:rsidRDefault="00347299" w:rsidP="0034729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+2.16%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E97A" w14:textId="77777777" w:rsidR="00347299" w:rsidRPr="008C64F2" w:rsidRDefault="00347299" w:rsidP="000743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C64F2">
              <w:rPr>
                <w:rFonts w:eastAsia="Times New Roman" w:cstheme="minorHAnsi"/>
                <w:b/>
                <w:color w:val="000000"/>
                <w:lang w:eastAsia="en-GB"/>
              </w:rPr>
              <w:t> </w:t>
            </w:r>
          </w:p>
        </w:tc>
      </w:tr>
    </w:tbl>
    <w:p w14:paraId="41551929" w14:textId="77777777" w:rsidR="009A4B70" w:rsidRDefault="009A4B70" w:rsidP="005646CB">
      <w:pPr>
        <w:tabs>
          <w:tab w:val="left" w:pos="709"/>
        </w:tabs>
        <w:jc w:val="both"/>
        <w:rPr>
          <w:rFonts w:ascii="Verdana" w:hAnsi="Verdana" w:cs="Arial"/>
          <w:sz w:val="24"/>
          <w:szCs w:val="24"/>
        </w:rPr>
      </w:pPr>
    </w:p>
    <w:p w14:paraId="78B313F5" w14:textId="77777777" w:rsidR="009E45E6" w:rsidRPr="00FA03D7" w:rsidRDefault="005646CB" w:rsidP="00B56754">
      <w:pPr>
        <w:pStyle w:val="ListParagraph"/>
        <w:numPr>
          <w:ilvl w:val="1"/>
          <w:numId w:val="1"/>
        </w:numPr>
        <w:spacing w:after="0" w:line="360" w:lineRule="auto"/>
        <w:ind w:left="851" w:hanging="851"/>
        <w:jc w:val="both"/>
        <w:rPr>
          <w:rFonts w:ascii="Verdana" w:hAnsi="Verdana" w:cs="Arial"/>
          <w:b/>
          <w:sz w:val="24"/>
        </w:rPr>
      </w:pPr>
      <w:r w:rsidRPr="00FA03D7">
        <w:rPr>
          <w:rFonts w:ascii="Verdana" w:hAnsi="Verdana" w:cs="Arial"/>
          <w:b/>
          <w:sz w:val="24"/>
        </w:rPr>
        <w:t xml:space="preserve">Schools </w:t>
      </w:r>
      <w:r w:rsidR="00570599" w:rsidRPr="00FA03D7">
        <w:rPr>
          <w:rFonts w:ascii="Verdana" w:hAnsi="Verdana" w:cs="Arial"/>
          <w:b/>
          <w:sz w:val="24"/>
        </w:rPr>
        <w:t>b</w:t>
      </w:r>
      <w:r w:rsidRPr="00FA03D7">
        <w:rPr>
          <w:rFonts w:ascii="Verdana" w:hAnsi="Verdana" w:cs="Arial"/>
          <w:b/>
          <w:sz w:val="24"/>
        </w:rPr>
        <w:t>lock</w:t>
      </w:r>
    </w:p>
    <w:p w14:paraId="09118496" w14:textId="7720820F" w:rsidR="00595188" w:rsidRPr="00FA03D7" w:rsidRDefault="00570599" w:rsidP="000E67D5">
      <w:pPr>
        <w:pStyle w:val="ListParagraph"/>
        <w:numPr>
          <w:ilvl w:val="2"/>
          <w:numId w:val="20"/>
        </w:numPr>
        <w:spacing w:after="0" w:line="360" w:lineRule="auto"/>
        <w:ind w:left="851" w:hanging="851"/>
        <w:jc w:val="both"/>
        <w:rPr>
          <w:rFonts w:ascii="Verdana" w:hAnsi="Verdana" w:cs="Arial"/>
          <w:b/>
          <w:sz w:val="24"/>
        </w:rPr>
      </w:pPr>
      <w:r w:rsidRPr="00FA03D7">
        <w:rPr>
          <w:rFonts w:ascii="Verdana" w:hAnsi="Verdana" w:cs="Arial"/>
          <w:sz w:val="24"/>
        </w:rPr>
        <w:t>The Schools Block</w:t>
      </w:r>
      <w:r w:rsidR="009E45E6" w:rsidRPr="00FA03D7">
        <w:rPr>
          <w:rFonts w:ascii="Verdana" w:hAnsi="Verdana" w:cs="Arial"/>
          <w:sz w:val="24"/>
        </w:rPr>
        <w:t xml:space="preserve"> allocation for 2017/18 decreased by</w:t>
      </w:r>
      <w:r w:rsidR="00595188" w:rsidRPr="00FA03D7">
        <w:rPr>
          <w:rFonts w:ascii="Verdana" w:hAnsi="Verdana" w:cs="Arial"/>
          <w:sz w:val="24"/>
        </w:rPr>
        <w:t xml:space="preserve"> £0.</w:t>
      </w:r>
      <w:r w:rsidR="009E45E6" w:rsidRPr="00FA03D7">
        <w:rPr>
          <w:rFonts w:ascii="Verdana" w:hAnsi="Verdana" w:cs="Arial"/>
          <w:sz w:val="24"/>
        </w:rPr>
        <w:t>4</w:t>
      </w:r>
      <w:r w:rsidR="00595188" w:rsidRPr="00FA03D7">
        <w:rPr>
          <w:rFonts w:ascii="Verdana" w:hAnsi="Verdana" w:cs="Arial"/>
          <w:sz w:val="24"/>
        </w:rPr>
        <w:t>5</w:t>
      </w:r>
      <w:r w:rsidR="009E45E6" w:rsidRPr="00FA03D7">
        <w:rPr>
          <w:rFonts w:ascii="Verdana" w:hAnsi="Verdana" w:cs="Arial"/>
          <w:sz w:val="24"/>
        </w:rPr>
        <w:t>m</w:t>
      </w:r>
      <w:r w:rsidR="00347299" w:rsidRPr="00FA03D7">
        <w:rPr>
          <w:rFonts w:ascii="Verdana" w:hAnsi="Verdana" w:cs="Arial"/>
          <w:sz w:val="24"/>
        </w:rPr>
        <w:t xml:space="preserve"> (-0.40%)</w:t>
      </w:r>
      <w:r w:rsidRPr="00FA03D7">
        <w:rPr>
          <w:rFonts w:ascii="Verdana" w:hAnsi="Verdana" w:cs="Arial"/>
          <w:sz w:val="24"/>
        </w:rPr>
        <w:t xml:space="preserve">.  </w:t>
      </w:r>
      <w:r w:rsidR="009E45E6" w:rsidRPr="00FA03D7">
        <w:rPr>
          <w:rFonts w:ascii="Verdana" w:hAnsi="Verdana" w:cs="Arial"/>
          <w:sz w:val="24"/>
        </w:rPr>
        <w:t>This is attributable to a reduction in</w:t>
      </w:r>
      <w:r w:rsidR="006765DA" w:rsidRPr="00FA03D7">
        <w:rPr>
          <w:rFonts w:ascii="Verdana" w:hAnsi="Verdana" w:cs="Arial"/>
          <w:sz w:val="24"/>
        </w:rPr>
        <w:t xml:space="preserve"> the</w:t>
      </w:r>
      <w:r w:rsidR="009E45E6" w:rsidRPr="00FA03D7">
        <w:rPr>
          <w:rFonts w:ascii="Verdana" w:hAnsi="Verdana" w:cs="Arial"/>
          <w:sz w:val="24"/>
        </w:rPr>
        <w:t xml:space="preserve"> </w:t>
      </w:r>
      <w:r w:rsidR="00774470" w:rsidRPr="00FA03D7">
        <w:rPr>
          <w:rFonts w:ascii="Verdana" w:hAnsi="Verdana" w:cs="Arial"/>
          <w:sz w:val="24"/>
        </w:rPr>
        <w:t>pupil headcount (based on the October 2016 Census</w:t>
      </w:r>
      <w:r w:rsidR="006765DA" w:rsidRPr="00FA03D7">
        <w:rPr>
          <w:rFonts w:ascii="Verdana" w:hAnsi="Verdana" w:cs="Arial"/>
          <w:sz w:val="24"/>
        </w:rPr>
        <w:t>)</w:t>
      </w:r>
      <w:r w:rsidR="009E45E6" w:rsidRPr="00FA03D7">
        <w:rPr>
          <w:rFonts w:ascii="Verdana" w:hAnsi="Verdana" w:cs="Arial"/>
          <w:sz w:val="24"/>
        </w:rPr>
        <w:t xml:space="preserve"> of 74 pupils and a unit of funding reduction of £16.</w:t>
      </w:r>
      <w:r w:rsidR="006765DA" w:rsidRPr="00FA03D7">
        <w:rPr>
          <w:rFonts w:ascii="Verdana" w:hAnsi="Verdana" w:cs="Arial"/>
          <w:sz w:val="24"/>
        </w:rPr>
        <w:t>43 per pupil to from £6,003.47.</w:t>
      </w:r>
      <w:r w:rsidR="000E67D5" w:rsidRPr="00FA03D7">
        <w:rPr>
          <w:rFonts w:ascii="Verdana" w:hAnsi="Verdana" w:cs="Arial"/>
          <w:sz w:val="24"/>
        </w:rPr>
        <w:t xml:space="preserve"> This is a result of the 2016/17 baseline exercise conducted by The Department for Education (DfE) and the Local Authority which showed a reduction in funding. This is in line with other authorities change in schools block unit funding.</w:t>
      </w:r>
    </w:p>
    <w:p w14:paraId="0018153C" w14:textId="31865ABC" w:rsidR="009E45E6" w:rsidRPr="00FA03D7" w:rsidRDefault="009E45E6" w:rsidP="00B56754">
      <w:pPr>
        <w:pStyle w:val="ListParagraph"/>
        <w:numPr>
          <w:ilvl w:val="2"/>
          <w:numId w:val="20"/>
        </w:numPr>
        <w:spacing w:after="0" w:line="360" w:lineRule="auto"/>
        <w:ind w:left="851" w:hanging="851"/>
        <w:rPr>
          <w:rFonts w:ascii="Verdana" w:hAnsi="Verdana" w:cs="Arial"/>
          <w:sz w:val="24"/>
        </w:rPr>
      </w:pPr>
      <w:r w:rsidRPr="00FA03D7">
        <w:rPr>
          <w:rFonts w:ascii="Verdana" w:hAnsi="Verdana" w:cs="Arial"/>
          <w:sz w:val="24"/>
        </w:rPr>
        <w:t>The</w:t>
      </w:r>
      <w:r w:rsidR="000E67D5" w:rsidRPr="00FA03D7">
        <w:rPr>
          <w:rFonts w:ascii="Verdana" w:hAnsi="Verdana" w:cs="Arial"/>
          <w:sz w:val="24"/>
        </w:rPr>
        <w:t xml:space="preserve"> DfE</w:t>
      </w:r>
      <w:r w:rsidRPr="00FA03D7">
        <w:rPr>
          <w:rFonts w:ascii="Verdana" w:hAnsi="Verdana" w:cs="Arial"/>
          <w:sz w:val="24"/>
        </w:rPr>
        <w:t xml:space="preserve"> have made a policy decision to move Education Services Grant (ESG) retained duties funding in to the </w:t>
      </w:r>
      <w:r w:rsidR="00570599" w:rsidRPr="00FA03D7">
        <w:rPr>
          <w:rFonts w:ascii="Verdana" w:hAnsi="Verdana" w:cs="Arial"/>
          <w:sz w:val="24"/>
        </w:rPr>
        <w:t>Schools Block</w:t>
      </w:r>
      <w:r w:rsidRPr="00FA03D7">
        <w:rPr>
          <w:rFonts w:ascii="Verdana" w:hAnsi="Verdana" w:cs="Arial"/>
          <w:sz w:val="24"/>
        </w:rPr>
        <w:t xml:space="preserve"> baseline</w:t>
      </w:r>
      <w:r w:rsidR="00570599" w:rsidRPr="00FA03D7">
        <w:rPr>
          <w:rFonts w:ascii="Verdana" w:hAnsi="Verdana" w:cs="Arial"/>
          <w:sz w:val="24"/>
        </w:rPr>
        <w:t xml:space="preserve">.  </w:t>
      </w:r>
      <w:r w:rsidRPr="00FA03D7">
        <w:rPr>
          <w:rFonts w:ascii="Verdana" w:hAnsi="Verdana" w:cs="Arial"/>
          <w:sz w:val="24"/>
        </w:rPr>
        <w:t xml:space="preserve">As a </w:t>
      </w:r>
      <w:r w:rsidR="004E7CC8" w:rsidRPr="00FA03D7">
        <w:rPr>
          <w:rFonts w:ascii="Verdana" w:hAnsi="Verdana" w:cs="Arial"/>
          <w:sz w:val="24"/>
        </w:rPr>
        <w:t>result,</w:t>
      </w:r>
      <w:r w:rsidRPr="00FA03D7">
        <w:rPr>
          <w:rFonts w:ascii="Verdana" w:hAnsi="Verdana" w:cs="Arial"/>
          <w:sz w:val="24"/>
        </w:rPr>
        <w:t xml:space="preserve"> they will no longer allocate funding through the ESG general funding rate from 2017 to 2018 to the Local Authority and instead funding will be delegated directly to schools</w:t>
      </w:r>
      <w:r w:rsidR="00570599" w:rsidRPr="00FA03D7">
        <w:rPr>
          <w:rFonts w:ascii="Verdana" w:hAnsi="Verdana" w:cs="Arial"/>
          <w:sz w:val="24"/>
        </w:rPr>
        <w:t xml:space="preserve">.  </w:t>
      </w:r>
    </w:p>
    <w:p w14:paraId="36F34EC0" w14:textId="77777777" w:rsidR="009E45E6" w:rsidRPr="00FA03D7" w:rsidRDefault="009E45E6" w:rsidP="00B56754">
      <w:pPr>
        <w:pStyle w:val="ListParagraph"/>
        <w:numPr>
          <w:ilvl w:val="2"/>
          <w:numId w:val="20"/>
        </w:numPr>
        <w:spacing w:after="0" w:line="360" w:lineRule="auto"/>
        <w:ind w:left="851" w:hanging="851"/>
        <w:jc w:val="both"/>
        <w:rPr>
          <w:rFonts w:ascii="Verdana" w:hAnsi="Verdana" w:cs="Arial"/>
          <w:b/>
          <w:sz w:val="24"/>
        </w:rPr>
      </w:pPr>
      <w:r w:rsidRPr="00FA03D7">
        <w:rPr>
          <w:rFonts w:ascii="Verdana" w:hAnsi="Verdana"/>
          <w:sz w:val="24"/>
        </w:rPr>
        <w:t>The impact of this decision represents a budget of £0.30m whi</w:t>
      </w:r>
      <w:r w:rsidR="00570599" w:rsidRPr="00FA03D7">
        <w:rPr>
          <w:rFonts w:ascii="Verdana" w:hAnsi="Verdana"/>
          <w:sz w:val="24"/>
        </w:rPr>
        <w:t>ch has been transferred to the Schools Block</w:t>
      </w:r>
      <w:r w:rsidRPr="00FA03D7">
        <w:rPr>
          <w:rFonts w:ascii="Verdana" w:hAnsi="Verdana"/>
          <w:sz w:val="24"/>
        </w:rPr>
        <w:t>.</w:t>
      </w:r>
    </w:p>
    <w:p w14:paraId="2F20FF2F" w14:textId="77777777" w:rsidR="00774DFF" w:rsidRPr="00FA03D7" w:rsidRDefault="00774DFF" w:rsidP="00B56754">
      <w:pPr>
        <w:pStyle w:val="ListParagraph"/>
        <w:tabs>
          <w:tab w:val="left" w:pos="709"/>
        </w:tabs>
        <w:spacing w:after="0" w:line="360" w:lineRule="auto"/>
        <w:ind w:left="851" w:hanging="851"/>
        <w:jc w:val="both"/>
        <w:rPr>
          <w:rFonts w:ascii="Verdana" w:hAnsi="Verdana" w:cs="Arial"/>
          <w:b/>
          <w:sz w:val="24"/>
        </w:rPr>
      </w:pPr>
    </w:p>
    <w:p w14:paraId="1FEA709D" w14:textId="77777777" w:rsidR="005646CB" w:rsidRPr="00FA03D7" w:rsidRDefault="00570599" w:rsidP="00B56754">
      <w:pPr>
        <w:pStyle w:val="ListParagraph"/>
        <w:numPr>
          <w:ilvl w:val="1"/>
          <w:numId w:val="20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</w:rPr>
      </w:pPr>
      <w:r w:rsidRPr="00FA03D7">
        <w:rPr>
          <w:rFonts w:ascii="Verdana" w:hAnsi="Verdana" w:cs="Arial"/>
          <w:b/>
          <w:sz w:val="24"/>
        </w:rPr>
        <w:t>High Needs b</w:t>
      </w:r>
      <w:r w:rsidR="005646CB" w:rsidRPr="00FA03D7">
        <w:rPr>
          <w:rFonts w:ascii="Verdana" w:hAnsi="Verdana" w:cs="Arial"/>
          <w:b/>
          <w:sz w:val="24"/>
        </w:rPr>
        <w:t>lock</w:t>
      </w:r>
      <w:r w:rsidR="005646CB" w:rsidRPr="00FA03D7">
        <w:rPr>
          <w:rFonts w:ascii="Verdana" w:hAnsi="Verdana" w:cs="Arial"/>
          <w:sz w:val="24"/>
        </w:rPr>
        <w:t xml:space="preserve"> </w:t>
      </w:r>
    </w:p>
    <w:p w14:paraId="7FEEF5E5" w14:textId="77777777" w:rsidR="008525F7" w:rsidRPr="00FA03D7" w:rsidRDefault="00905A29" w:rsidP="00B56754">
      <w:pPr>
        <w:pStyle w:val="ListParagraph"/>
        <w:numPr>
          <w:ilvl w:val="2"/>
          <w:numId w:val="20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</w:rPr>
      </w:pPr>
      <w:r w:rsidRPr="00FA03D7">
        <w:rPr>
          <w:rFonts w:ascii="Verdana" w:hAnsi="Verdana" w:cs="Arial"/>
          <w:sz w:val="24"/>
        </w:rPr>
        <w:t xml:space="preserve">The </w:t>
      </w:r>
      <w:r w:rsidR="00570599" w:rsidRPr="00FA03D7">
        <w:rPr>
          <w:rFonts w:ascii="Verdana" w:hAnsi="Verdana" w:cs="Arial"/>
          <w:sz w:val="24"/>
        </w:rPr>
        <w:t>High Needs</w:t>
      </w:r>
      <w:r w:rsidRPr="00FA03D7">
        <w:rPr>
          <w:rFonts w:ascii="Verdana" w:hAnsi="Verdana" w:cs="Arial"/>
          <w:sz w:val="24"/>
        </w:rPr>
        <w:t xml:space="preserve"> Block allocation for 2017/18 has increased by </w:t>
      </w:r>
      <w:r w:rsidR="00557AB1" w:rsidRPr="00FA03D7">
        <w:rPr>
          <w:rFonts w:ascii="Verdana" w:hAnsi="Verdana" w:cs="Arial"/>
          <w:sz w:val="24"/>
        </w:rPr>
        <w:t>£0.53m</w:t>
      </w:r>
      <w:r w:rsidR="00D16E3B" w:rsidRPr="00FA03D7">
        <w:rPr>
          <w:rFonts w:ascii="Verdana" w:hAnsi="Verdana" w:cs="Arial"/>
          <w:sz w:val="24"/>
        </w:rPr>
        <w:t xml:space="preserve"> </w:t>
      </w:r>
      <w:r w:rsidR="00347299" w:rsidRPr="00FA03D7">
        <w:rPr>
          <w:rFonts w:ascii="Verdana" w:hAnsi="Verdana" w:cs="Arial"/>
          <w:sz w:val="24"/>
        </w:rPr>
        <w:t xml:space="preserve">(+2.19%) </w:t>
      </w:r>
      <w:r w:rsidR="007228CF" w:rsidRPr="00FA03D7">
        <w:rPr>
          <w:rFonts w:ascii="Verdana" w:hAnsi="Verdana" w:cs="Arial"/>
          <w:sz w:val="24"/>
        </w:rPr>
        <w:t>as set out in Table</w:t>
      </w:r>
      <w:r w:rsidR="008C18AE" w:rsidRPr="00FA03D7">
        <w:rPr>
          <w:rFonts w:ascii="Verdana" w:hAnsi="Verdana" w:cs="Arial"/>
          <w:sz w:val="24"/>
        </w:rPr>
        <w:t>s 1 and in further detail in Table</w:t>
      </w:r>
      <w:r w:rsidR="007228CF" w:rsidRPr="00FA03D7">
        <w:rPr>
          <w:rFonts w:ascii="Verdana" w:hAnsi="Verdana" w:cs="Arial"/>
          <w:sz w:val="24"/>
        </w:rPr>
        <w:t xml:space="preserve"> 2</w:t>
      </w:r>
      <w:r w:rsidR="00570599" w:rsidRPr="00FA03D7">
        <w:rPr>
          <w:rFonts w:ascii="Verdana" w:hAnsi="Verdana" w:cs="Arial"/>
          <w:sz w:val="24"/>
        </w:rPr>
        <w:t xml:space="preserve">.  </w:t>
      </w:r>
      <w:r w:rsidR="003F4027" w:rsidRPr="00FA03D7">
        <w:rPr>
          <w:rFonts w:ascii="Verdana" w:hAnsi="Verdana" w:cs="Arial"/>
          <w:sz w:val="24"/>
        </w:rPr>
        <w:t>This is mainly attributable to a transfer</w:t>
      </w:r>
      <w:r w:rsidR="002E2588" w:rsidRPr="00FA03D7">
        <w:rPr>
          <w:rFonts w:ascii="Verdana" w:hAnsi="Verdana" w:cs="Arial"/>
          <w:sz w:val="24"/>
        </w:rPr>
        <w:t xml:space="preserve"> of £0.48m from the EFA Post-</w:t>
      </w:r>
      <w:r w:rsidR="003F4027" w:rsidRPr="00FA03D7">
        <w:rPr>
          <w:rFonts w:ascii="Verdana" w:hAnsi="Verdana" w:cs="Arial"/>
          <w:sz w:val="24"/>
        </w:rPr>
        <w:t>16 budget</w:t>
      </w:r>
      <w:r w:rsidR="00570599" w:rsidRPr="00FA03D7">
        <w:rPr>
          <w:rFonts w:ascii="Verdana" w:hAnsi="Verdana" w:cs="Arial"/>
          <w:sz w:val="24"/>
        </w:rPr>
        <w:t xml:space="preserve">.  </w:t>
      </w:r>
    </w:p>
    <w:p w14:paraId="0D5C619C" w14:textId="77777777" w:rsidR="003F4027" w:rsidRPr="00FA03D7" w:rsidRDefault="003F4027" w:rsidP="00B56754">
      <w:pPr>
        <w:pStyle w:val="ListParagraph"/>
        <w:numPr>
          <w:ilvl w:val="2"/>
          <w:numId w:val="20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</w:rPr>
      </w:pPr>
      <w:r w:rsidRPr="00FA03D7">
        <w:rPr>
          <w:rFonts w:ascii="Verdana" w:hAnsi="Verdana" w:cs="Arial"/>
          <w:sz w:val="24"/>
        </w:rPr>
        <w:lastRenderedPageBreak/>
        <w:t>This is a transfer of place fu</w:t>
      </w:r>
      <w:r w:rsidR="002E2588" w:rsidRPr="00FA03D7">
        <w:rPr>
          <w:rFonts w:ascii="Verdana" w:hAnsi="Verdana" w:cs="Arial"/>
          <w:sz w:val="24"/>
        </w:rPr>
        <w:t xml:space="preserve">nding for </w:t>
      </w:r>
      <w:r w:rsidR="00570599" w:rsidRPr="00FA03D7">
        <w:rPr>
          <w:rFonts w:ascii="Verdana" w:hAnsi="Verdana" w:cs="Arial"/>
          <w:sz w:val="24"/>
        </w:rPr>
        <w:t>High Needs</w:t>
      </w:r>
      <w:r w:rsidR="002E2588" w:rsidRPr="00FA03D7">
        <w:rPr>
          <w:rFonts w:ascii="Verdana" w:hAnsi="Verdana" w:cs="Arial"/>
          <w:sz w:val="24"/>
        </w:rPr>
        <w:t xml:space="preserve"> places in Further Edu</w:t>
      </w:r>
      <w:r w:rsidRPr="00FA03D7">
        <w:rPr>
          <w:rFonts w:ascii="Verdana" w:hAnsi="Verdana" w:cs="Arial"/>
          <w:sz w:val="24"/>
        </w:rPr>
        <w:t>cation (FE) colleges and post-16 charitable and commercial providers</w:t>
      </w:r>
      <w:r w:rsidR="00570599" w:rsidRPr="00FA03D7">
        <w:rPr>
          <w:rFonts w:ascii="Verdana" w:hAnsi="Verdana" w:cs="Arial"/>
          <w:sz w:val="24"/>
        </w:rPr>
        <w:t xml:space="preserve">.  </w:t>
      </w:r>
    </w:p>
    <w:p w14:paraId="2C194443" w14:textId="77777777" w:rsidR="003F4027" w:rsidRPr="00FA03D7" w:rsidRDefault="003F4027" w:rsidP="00B56754">
      <w:pPr>
        <w:pStyle w:val="ListParagraph"/>
        <w:numPr>
          <w:ilvl w:val="2"/>
          <w:numId w:val="20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</w:rPr>
      </w:pPr>
      <w:r w:rsidRPr="00FA03D7">
        <w:rPr>
          <w:rFonts w:ascii="Verdana" w:hAnsi="Verdana" w:cs="Arial"/>
          <w:sz w:val="24"/>
        </w:rPr>
        <w:t xml:space="preserve">From </w:t>
      </w:r>
      <w:r w:rsidR="00D9601E" w:rsidRPr="00FA03D7">
        <w:rPr>
          <w:rFonts w:ascii="Verdana" w:hAnsi="Verdana" w:cs="Arial"/>
          <w:sz w:val="24"/>
        </w:rPr>
        <w:t xml:space="preserve">the financial year 2017/18, </w:t>
      </w:r>
      <w:r w:rsidRPr="00FA03D7">
        <w:rPr>
          <w:rFonts w:ascii="Verdana" w:hAnsi="Verdana" w:cs="Arial"/>
          <w:sz w:val="24"/>
        </w:rPr>
        <w:t xml:space="preserve">all </w:t>
      </w:r>
      <w:r w:rsidR="00570599" w:rsidRPr="00FA03D7">
        <w:rPr>
          <w:rFonts w:ascii="Verdana" w:hAnsi="Verdana" w:cs="Arial"/>
          <w:sz w:val="24"/>
        </w:rPr>
        <w:t>High Needs</w:t>
      </w:r>
      <w:r w:rsidR="00CE3FE0" w:rsidRPr="00FA03D7">
        <w:rPr>
          <w:rFonts w:ascii="Verdana" w:hAnsi="Verdana" w:cs="Arial"/>
          <w:sz w:val="24"/>
        </w:rPr>
        <w:t xml:space="preserve"> post-16</w:t>
      </w:r>
      <w:r w:rsidRPr="00FA03D7">
        <w:rPr>
          <w:rFonts w:ascii="Verdana" w:hAnsi="Verdana" w:cs="Arial"/>
          <w:sz w:val="24"/>
        </w:rPr>
        <w:t xml:space="preserve"> places will be funded from the initial </w:t>
      </w:r>
      <w:r w:rsidR="00570599" w:rsidRPr="00FA03D7">
        <w:rPr>
          <w:rFonts w:ascii="Verdana" w:hAnsi="Verdana" w:cs="Arial"/>
          <w:sz w:val="24"/>
        </w:rPr>
        <w:t>High Needs</w:t>
      </w:r>
      <w:r w:rsidRPr="00FA03D7">
        <w:rPr>
          <w:rFonts w:ascii="Verdana" w:hAnsi="Verdana" w:cs="Arial"/>
          <w:sz w:val="24"/>
        </w:rPr>
        <w:t xml:space="preserve"> block allocations to local authorities</w:t>
      </w:r>
      <w:r w:rsidR="00570599" w:rsidRPr="00FA03D7">
        <w:rPr>
          <w:rFonts w:ascii="Verdana" w:hAnsi="Verdana" w:cs="Arial"/>
          <w:sz w:val="24"/>
        </w:rPr>
        <w:t xml:space="preserve">.  </w:t>
      </w:r>
      <w:r w:rsidRPr="00FA03D7">
        <w:rPr>
          <w:rFonts w:ascii="Verdana" w:hAnsi="Verdana" w:cs="Arial"/>
          <w:sz w:val="24"/>
        </w:rPr>
        <w:t xml:space="preserve">Deductions will then be made to fund institutions directly, </w:t>
      </w:r>
      <w:r w:rsidR="003579F7" w:rsidRPr="00FA03D7">
        <w:rPr>
          <w:rFonts w:ascii="Verdana" w:hAnsi="Verdana" w:cs="Arial"/>
          <w:sz w:val="24"/>
        </w:rPr>
        <w:t>from</w:t>
      </w:r>
      <w:r w:rsidRPr="00FA03D7">
        <w:rPr>
          <w:rFonts w:ascii="Verdana" w:hAnsi="Verdana" w:cs="Arial"/>
          <w:sz w:val="24"/>
        </w:rPr>
        <w:t xml:space="preserve"> information collected from local authorities, before the </w:t>
      </w:r>
      <w:r w:rsidR="00570599" w:rsidRPr="00FA03D7">
        <w:rPr>
          <w:rFonts w:ascii="Verdana" w:hAnsi="Verdana" w:cs="Arial"/>
          <w:sz w:val="24"/>
        </w:rPr>
        <w:t>High Needs</w:t>
      </w:r>
      <w:r w:rsidRPr="00FA03D7">
        <w:rPr>
          <w:rFonts w:ascii="Verdana" w:hAnsi="Verdana" w:cs="Arial"/>
          <w:sz w:val="24"/>
        </w:rPr>
        <w:t xml:space="preserve"> block allocations are finalised in March 2017.</w:t>
      </w:r>
    </w:p>
    <w:p w14:paraId="605C86B8" w14:textId="77777777" w:rsidR="00774DFF" w:rsidRPr="00FA03D7" w:rsidRDefault="003F4027" w:rsidP="00B56754">
      <w:pPr>
        <w:pStyle w:val="ListParagraph"/>
        <w:numPr>
          <w:ilvl w:val="2"/>
          <w:numId w:val="20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</w:rPr>
      </w:pPr>
      <w:r w:rsidRPr="00FA03D7">
        <w:rPr>
          <w:rFonts w:ascii="Verdana" w:hAnsi="Verdana" w:cs="Arial"/>
          <w:sz w:val="24"/>
        </w:rPr>
        <w:t xml:space="preserve">Discounting this shows an actual growth on the </w:t>
      </w:r>
      <w:r w:rsidR="00570599" w:rsidRPr="00FA03D7">
        <w:rPr>
          <w:rFonts w:ascii="Verdana" w:hAnsi="Verdana" w:cs="Arial"/>
          <w:sz w:val="24"/>
        </w:rPr>
        <w:t>High Needs</w:t>
      </w:r>
      <w:r w:rsidRPr="00FA03D7">
        <w:rPr>
          <w:rFonts w:ascii="Verdana" w:hAnsi="Verdana" w:cs="Arial"/>
          <w:sz w:val="24"/>
        </w:rPr>
        <w:t xml:space="preserve"> Block of £0.05m</w:t>
      </w:r>
      <w:r w:rsidR="008525F7" w:rsidRPr="00FA03D7">
        <w:rPr>
          <w:rFonts w:ascii="Verdana" w:hAnsi="Verdana" w:cs="Arial"/>
          <w:sz w:val="24"/>
        </w:rPr>
        <w:t>.</w:t>
      </w:r>
    </w:p>
    <w:p w14:paraId="58A92C84" w14:textId="77777777" w:rsidR="003F4027" w:rsidRPr="00774DFF" w:rsidRDefault="003F4027" w:rsidP="003F4027">
      <w:pPr>
        <w:pStyle w:val="ListParagraph"/>
        <w:ind w:left="851"/>
        <w:jc w:val="both"/>
        <w:rPr>
          <w:rFonts w:ascii="Verdana" w:hAnsi="Verdana" w:cs="Arial"/>
          <w:sz w:val="24"/>
          <w:szCs w:val="24"/>
        </w:rPr>
      </w:pPr>
    </w:p>
    <w:p w14:paraId="6D1D9E77" w14:textId="77777777" w:rsidR="005646CB" w:rsidRPr="009E1791" w:rsidRDefault="00606F52" w:rsidP="00606F52">
      <w:pPr>
        <w:tabs>
          <w:tab w:val="left" w:pos="709"/>
        </w:tabs>
        <w:jc w:val="both"/>
        <w:rPr>
          <w:rFonts w:cstheme="minorHAnsi"/>
          <w:b/>
          <w:sz w:val="24"/>
          <w:szCs w:val="24"/>
        </w:rPr>
      </w:pPr>
      <w:r w:rsidRPr="009E1791">
        <w:rPr>
          <w:rFonts w:cstheme="minorHAnsi"/>
          <w:b/>
          <w:sz w:val="24"/>
          <w:szCs w:val="24"/>
        </w:rPr>
        <w:t>Table 2</w:t>
      </w:r>
      <w:r w:rsidR="005646CB" w:rsidRPr="009E1791">
        <w:rPr>
          <w:rFonts w:cstheme="minorHAnsi"/>
          <w:b/>
          <w:sz w:val="24"/>
          <w:szCs w:val="24"/>
        </w:rPr>
        <w:t xml:space="preserve">    </w:t>
      </w:r>
    </w:p>
    <w:tbl>
      <w:tblPr>
        <w:tblW w:w="9977" w:type="dxa"/>
        <w:tblInd w:w="-478" w:type="dxa"/>
        <w:tblLook w:val="04A0" w:firstRow="1" w:lastRow="0" w:firstColumn="1" w:lastColumn="0" w:noHBand="0" w:noVBand="1"/>
      </w:tblPr>
      <w:tblGrid>
        <w:gridCol w:w="1150"/>
        <w:gridCol w:w="1291"/>
        <w:gridCol w:w="1294"/>
        <w:gridCol w:w="1294"/>
        <w:gridCol w:w="1291"/>
        <w:gridCol w:w="1291"/>
        <w:gridCol w:w="1261"/>
        <w:gridCol w:w="1105"/>
      </w:tblGrid>
      <w:tr w:rsidR="00606F52" w:rsidRPr="00393BA7" w14:paraId="7B8C8809" w14:textId="77777777" w:rsidTr="00657033">
        <w:trPr>
          <w:trHeight w:val="78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552542" w14:textId="77777777" w:rsidR="00606F52" w:rsidRPr="00393BA7" w:rsidRDefault="00606F52" w:rsidP="0060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2016-17 </w:t>
            </w:r>
            <w:r w:rsidR="0057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High Needs</w:t>
            </w: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830959" w14:textId="77777777" w:rsidR="00606F52" w:rsidRPr="00393BA7" w:rsidRDefault="00606F52" w:rsidP="00966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2017-18 </w:t>
            </w:r>
            <w:r w:rsidR="0057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High Needs</w:t>
            </w: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block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B0A9A43" w14:textId="77777777" w:rsidR="00606F52" w:rsidRPr="00393BA7" w:rsidRDefault="00606F52" w:rsidP="00966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Uplift calculation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0CCCACA" w14:textId="77777777" w:rsidR="00606F52" w:rsidRPr="00393BA7" w:rsidRDefault="00606F52" w:rsidP="00966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6F52" w:rsidRPr="00393BA7" w14:paraId="0866CA40" w14:textId="77777777" w:rsidTr="00657033">
        <w:trPr>
          <w:trHeight w:val="801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4BCDC2" w14:textId="77777777" w:rsidR="00606F52" w:rsidRPr="00393BA7" w:rsidRDefault="00606F52" w:rsidP="0060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2016-17</w:t>
            </w:r>
          </w:p>
          <w:p w14:paraId="4C217B7E" w14:textId="77777777" w:rsidR="00606F52" w:rsidRPr="00393BA7" w:rsidRDefault="00570599" w:rsidP="0060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High Needs</w:t>
            </w:r>
            <w:r w:rsidR="00606F52"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block </w:t>
            </w:r>
          </w:p>
          <w:p w14:paraId="3B8B7FD1" w14:textId="77777777" w:rsidR="00606F52" w:rsidRPr="00393BA7" w:rsidRDefault="00606F52" w:rsidP="0060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allocation  (£million)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1B3561B" w14:textId="77777777" w:rsidR="00606F52" w:rsidRPr="00393BA7" w:rsidRDefault="00606F52" w:rsidP="00966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Final 2017-18 </w:t>
            </w:r>
            <w:r w:rsidR="0057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High Needs</w:t>
            </w: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Block baseline</w:t>
            </w: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 xml:space="preserve"> (£million)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7FB3A34" w14:textId="77777777" w:rsidR="00606F52" w:rsidRPr="00393BA7" w:rsidRDefault="00606F52" w:rsidP="00966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Mid 2016 2-18 year old population projections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BF4A20D" w14:textId="77777777" w:rsidR="00606F52" w:rsidRPr="00393BA7" w:rsidRDefault="00606F52" w:rsidP="00966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Mid 2017 2-18 year old population projections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2F9994E" w14:textId="77777777" w:rsidR="00606F52" w:rsidRPr="00393BA7" w:rsidRDefault="00606F52" w:rsidP="00966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Population based uplift (£million)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C7AEAE0" w14:textId="77777777" w:rsidR="00606F52" w:rsidRPr="00393BA7" w:rsidRDefault="00606F52" w:rsidP="00966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Population growth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2916D4A" w14:textId="77777777" w:rsidR="00606F52" w:rsidRPr="00393BA7" w:rsidRDefault="00606F52" w:rsidP="00966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Population growth uplift (£million)**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01A9F87" w14:textId="77777777" w:rsidR="00606F52" w:rsidRPr="00393BA7" w:rsidRDefault="00606F52" w:rsidP="00966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  <w:r w:rsidR="005705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High Needs</w:t>
            </w:r>
            <w:r w:rsidRPr="00393B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Block (£million)</w:t>
            </w:r>
          </w:p>
        </w:tc>
      </w:tr>
      <w:tr w:rsidR="00606F52" w:rsidRPr="00393BA7" w14:paraId="419595B9" w14:textId="77777777" w:rsidTr="00774DFF">
        <w:trPr>
          <w:trHeight w:val="19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A69A24F" w14:textId="77777777" w:rsidR="00606F52" w:rsidRPr="00393BA7" w:rsidRDefault="00606F52" w:rsidP="00606F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1849F37" w14:textId="77777777" w:rsidR="00606F52" w:rsidRPr="00393BA7" w:rsidRDefault="00606F52" w:rsidP="00606F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DCFE1D" w14:textId="77777777" w:rsidR="00606F52" w:rsidRPr="00393BA7" w:rsidRDefault="00606F52" w:rsidP="00606F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23.92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5F33" w14:textId="77777777" w:rsidR="00606F52" w:rsidRPr="00393BA7" w:rsidRDefault="00606F52" w:rsidP="00606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40,025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9F800" w14:textId="77777777" w:rsidR="00606F52" w:rsidRPr="00393BA7" w:rsidRDefault="00606F52" w:rsidP="00606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41,020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BF4FD" w14:textId="77777777" w:rsidR="00606F52" w:rsidRPr="00393BA7" w:rsidRDefault="00606F52" w:rsidP="00606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25159" w14:textId="77777777" w:rsidR="00606F52" w:rsidRPr="00393BA7" w:rsidRDefault="00606F52" w:rsidP="00606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78918" w14:textId="77777777" w:rsidR="00606F52" w:rsidRPr="00393BA7" w:rsidRDefault="00606F52" w:rsidP="00606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0.48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1550" w14:textId="77777777" w:rsidR="00606F52" w:rsidRPr="00393BA7" w:rsidRDefault="00606F52" w:rsidP="00606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3B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24.76 </w:t>
            </w:r>
          </w:p>
        </w:tc>
      </w:tr>
    </w:tbl>
    <w:p w14:paraId="229DB732" w14:textId="77777777" w:rsidR="00DC07EC" w:rsidRDefault="00DC07EC" w:rsidP="005646CB">
      <w:pPr>
        <w:tabs>
          <w:tab w:val="left" w:pos="709"/>
        </w:tabs>
        <w:ind w:left="709" w:hanging="349"/>
        <w:jc w:val="both"/>
        <w:rPr>
          <w:rFonts w:ascii="Verdana" w:hAnsi="Verdana" w:cs="Arial"/>
          <w:sz w:val="24"/>
          <w:szCs w:val="24"/>
        </w:rPr>
      </w:pPr>
    </w:p>
    <w:p w14:paraId="1789BC9A" w14:textId="77777777" w:rsidR="00EA5868" w:rsidRPr="00FA03D7" w:rsidRDefault="00570599" w:rsidP="00E92D07">
      <w:pPr>
        <w:pStyle w:val="ListParagraph"/>
        <w:numPr>
          <w:ilvl w:val="1"/>
          <w:numId w:val="20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b/>
          <w:sz w:val="24"/>
          <w:szCs w:val="24"/>
        </w:rPr>
        <w:t>Early Years</w:t>
      </w:r>
      <w:r w:rsidR="00776B0D" w:rsidRPr="00FA03D7">
        <w:rPr>
          <w:rFonts w:ascii="Verdana" w:hAnsi="Verdana" w:cs="Arial"/>
          <w:b/>
          <w:sz w:val="24"/>
          <w:szCs w:val="24"/>
        </w:rPr>
        <w:t xml:space="preserve"> </w:t>
      </w:r>
      <w:r w:rsidRPr="00FA03D7">
        <w:rPr>
          <w:rFonts w:ascii="Verdana" w:hAnsi="Verdana" w:cs="Arial"/>
          <w:b/>
          <w:sz w:val="24"/>
          <w:szCs w:val="24"/>
        </w:rPr>
        <w:t>b</w:t>
      </w:r>
      <w:r w:rsidR="00776B0D" w:rsidRPr="00FA03D7">
        <w:rPr>
          <w:rFonts w:ascii="Verdana" w:hAnsi="Verdana" w:cs="Arial"/>
          <w:b/>
          <w:sz w:val="24"/>
          <w:szCs w:val="24"/>
        </w:rPr>
        <w:t>lock</w:t>
      </w:r>
      <w:r w:rsidR="00776B0D" w:rsidRPr="00FA03D7">
        <w:rPr>
          <w:rFonts w:ascii="Verdana" w:hAnsi="Verdana" w:cs="Arial"/>
          <w:sz w:val="24"/>
          <w:szCs w:val="24"/>
        </w:rPr>
        <w:t xml:space="preserve"> </w:t>
      </w:r>
    </w:p>
    <w:p w14:paraId="1A1525B5" w14:textId="77777777" w:rsidR="00EA5868" w:rsidRPr="00FA03D7" w:rsidRDefault="00EA5868" w:rsidP="00E92D07">
      <w:pPr>
        <w:pStyle w:val="ListParagraph"/>
        <w:numPr>
          <w:ilvl w:val="2"/>
          <w:numId w:val="20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 xml:space="preserve">The </w:t>
      </w:r>
      <w:r w:rsidR="00570599" w:rsidRPr="00FA03D7">
        <w:rPr>
          <w:rFonts w:ascii="Verdana" w:hAnsi="Verdana" w:cs="Arial"/>
          <w:sz w:val="24"/>
          <w:szCs w:val="24"/>
        </w:rPr>
        <w:t>Early Years</w:t>
      </w:r>
      <w:r w:rsidRPr="00FA03D7">
        <w:rPr>
          <w:rFonts w:ascii="Verdana" w:hAnsi="Verdana" w:cs="Arial"/>
          <w:sz w:val="24"/>
          <w:szCs w:val="24"/>
        </w:rPr>
        <w:t xml:space="preserve"> </w:t>
      </w:r>
      <w:r w:rsidR="00570599" w:rsidRPr="00FA03D7">
        <w:rPr>
          <w:rFonts w:ascii="Verdana" w:hAnsi="Verdana" w:cs="Arial"/>
          <w:sz w:val="24"/>
          <w:szCs w:val="24"/>
        </w:rPr>
        <w:t>b</w:t>
      </w:r>
      <w:r w:rsidRPr="00FA03D7">
        <w:rPr>
          <w:rFonts w:ascii="Verdana" w:hAnsi="Verdana" w:cs="Arial"/>
          <w:sz w:val="24"/>
          <w:szCs w:val="24"/>
        </w:rPr>
        <w:t>lock allocation for 2017/18 has been increased by £3.12m</w:t>
      </w:r>
      <w:r w:rsidR="000B6494" w:rsidRPr="00FA03D7">
        <w:rPr>
          <w:rFonts w:ascii="Verdana" w:hAnsi="Verdana" w:cs="Arial"/>
          <w:sz w:val="24"/>
          <w:szCs w:val="24"/>
        </w:rPr>
        <w:t xml:space="preserve"> (</w:t>
      </w:r>
      <w:r w:rsidR="000B6494" w:rsidRPr="00FA03D7">
        <w:rPr>
          <w:rFonts w:ascii="Verdana" w:eastAsia="Times New Roman" w:hAnsi="Verdana" w:cstheme="minorHAnsi"/>
          <w:bCs/>
          <w:iCs/>
          <w:color w:val="000000"/>
          <w:sz w:val="24"/>
          <w:szCs w:val="24"/>
          <w:lang w:eastAsia="en-GB"/>
        </w:rPr>
        <w:t>+27.27%)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="000B6494" w:rsidRPr="00FA03D7">
        <w:rPr>
          <w:rFonts w:ascii="Verdana" w:hAnsi="Verdana" w:cs="Arial"/>
          <w:sz w:val="24"/>
          <w:szCs w:val="24"/>
        </w:rPr>
        <w:t>Whilst the increase in funding appears significant in comparison to 2016/17 funding levels, the increase</w:t>
      </w:r>
      <w:r w:rsidRPr="00FA03D7">
        <w:rPr>
          <w:rFonts w:ascii="Verdana" w:hAnsi="Verdana" w:cs="Arial"/>
          <w:sz w:val="24"/>
          <w:szCs w:val="24"/>
        </w:rPr>
        <w:t xml:space="preserve"> is as a result of </w:t>
      </w:r>
      <w:r w:rsidR="00202E94" w:rsidRPr="00FA03D7">
        <w:rPr>
          <w:rFonts w:ascii="Verdana" w:hAnsi="Verdana" w:cs="Arial"/>
          <w:sz w:val="24"/>
          <w:szCs w:val="24"/>
        </w:rPr>
        <w:t>new</w:t>
      </w:r>
      <w:r w:rsidRPr="00FA03D7">
        <w:rPr>
          <w:rFonts w:ascii="Verdana" w:hAnsi="Verdana" w:cs="Arial"/>
          <w:sz w:val="24"/>
          <w:szCs w:val="24"/>
        </w:rPr>
        <w:t xml:space="preserve"> DfE policy to increase funding for additional hours</w:t>
      </w:r>
      <w:r w:rsidR="000B6494" w:rsidRPr="00FA03D7">
        <w:rPr>
          <w:rFonts w:ascii="Verdana" w:hAnsi="Verdana" w:cs="Arial"/>
          <w:sz w:val="24"/>
          <w:szCs w:val="24"/>
        </w:rPr>
        <w:t xml:space="preserve"> of </w:t>
      </w:r>
      <w:r w:rsidR="00570599" w:rsidRPr="00FA03D7">
        <w:rPr>
          <w:rFonts w:ascii="Verdana" w:hAnsi="Verdana" w:cs="Arial"/>
          <w:sz w:val="24"/>
          <w:szCs w:val="24"/>
        </w:rPr>
        <w:t>Early Years</w:t>
      </w:r>
      <w:r w:rsidR="000B6494" w:rsidRPr="00FA03D7">
        <w:rPr>
          <w:rFonts w:ascii="Verdana" w:hAnsi="Verdana" w:cs="Arial"/>
          <w:sz w:val="24"/>
          <w:szCs w:val="24"/>
        </w:rPr>
        <w:t xml:space="preserve"> provision</w:t>
      </w:r>
      <w:r w:rsidRPr="00FA03D7">
        <w:rPr>
          <w:rFonts w:ascii="Verdana" w:hAnsi="Verdana" w:cs="Arial"/>
          <w:sz w:val="24"/>
          <w:szCs w:val="24"/>
        </w:rPr>
        <w:t xml:space="preserve"> for working parents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3854485A" w14:textId="77777777" w:rsidR="00EA5868" w:rsidRPr="00FA03D7" w:rsidRDefault="00D25875" w:rsidP="00E92D07">
      <w:pPr>
        <w:pStyle w:val="ListParagraph"/>
        <w:numPr>
          <w:ilvl w:val="2"/>
          <w:numId w:val="20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 xml:space="preserve">The </w:t>
      </w:r>
      <w:r w:rsidR="00570599" w:rsidRPr="00FA03D7">
        <w:rPr>
          <w:rFonts w:ascii="Verdana" w:hAnsi="Verdana" w:cs="Arial"/>
          <w:sz w:val="24"/>
          <w:szCs w:val="24"/>
        </w:rPr>
        <w:t>Early Years</w:t>
      </w:r>
      <w:r w:rsidRPr="00FA03D7">
        <w:rPr>
          <w:rFonts w:ascii="Verdana" w:hAnsi="Verdana" w:cs="Arial"/>
          <w:sz w:val="24"/>
          <w:szCs w:val="24"/>
        </w:rPr>
        <w:t xml:space="preserve"> Block allocation is typically revised in the following May after the January pupil census as more up to date data becomes available.</w:t>
      </w:r>
    </w:p>
    <w:p w14:paraId="146875FF" w14:textId="77777777" w:rsidR="00EA5868" w:rsidRPr="00FA03D7" w:rsidRDefault="00EA5868" w:rsidP="00E92D07">
      <w:pPr>
        <w:pStyle w:val="ListParagraph"/>
        <w:numPr>
          <w:ilvl w:val="2"/>
          <w:numId w:val="20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A separate report on the impact of the new policy on will be tabled to Schools Forum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06836E30" w14:textId="77777777" w:rsidR="002B2953" w:rsidRPr="00FA03D7" w:rsidRDefault="002B2953" w:rsidP="00457C52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B26E3E7" w14:textId="77777777" w:rsidR="008814C9" w:rsidRPr="00FA03D7" w:rsidRDefault="008814C9" w:rsidP="00E92D07">
      <w:p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3</w:t>
      </w:r>
      <w:r w:rsidRPr="00FA03D7">
        <w:rPr>
          <w:rFonts w:ascii="Verdana" w:hAnsi="Verdana" w:cs="Arial"/>
          <w:sz w:val="24"/>
          <w:szCs w:val="24"/>
        </w:rPr>
        <w:tab/>
      </w:r>
      <w:r w:rsidRPr="00FA03D7">
        <w:rPr>
          <w:rFonts w:ascii="Verdana" w:hAnsi="Verdana" w:cs="Arial"/>
          <w:b/>
          <w:sz w:val="24"/>
          <w:szCs w:val="24"/>
        </w:rPr>
        <w:t>APT (Schools Funding Formula return to D</w:t>
      </w:r>
      <w:r w:rsidR="004F1C1F" w:rsidRPr="00FA03D7">
        <w:rPr>
          <w:rFonts w:ascii="Verdana" w:hAnsi="Verdana" w:cs="Arial"/>
          <w:b/>
          <w:sz w:val="24"/>
          <w:szCs w:val="24"/>
        </w:rPr>
        <w:t>f</w:t>
      </w:r>
      <w:r w:rsidRPr="00FA03D7">
        <w:rPr>
          <w:rFonts w:ascii="Verdana" w:hAnsi="Verdana" w:cs="Arial"/>
          <w:b/>
          <w:sz w:val="24"/>
          <w:szCs w:val="24"/>
        </w:rPr>
        <w:t>E)</w:t>
      </w:r>
      <w:r w:rsidRPr="00FA03D7">
        <w:rPr>
          <w:rFonts w:ascii="Verdana" w:hAnsi="Verdana" w:cs="Arial"/>
          <w:sz w:val="24"/>
          <w:szCs w:val="24"/>
        </w:rPr>
        <w:tab/>
      </w:r>
      <w:r w:rsidR="00536DB3" w:rsidRPr="00FA03D7">
        <w:rPr>
          <w:rFonts w:ascii="Verdana" w:hAnsi="Verdana" w:cs="Arial"/>
          <w:sz w:val="24"/>
          <w:szCs w:val="24"/>
        </w:rPr>
        <w:t xml:space="preserve">  </w:t>
      </w:r>
    </w:p>
    <w:p w14:paraId="1E02052A" w14:textId="2CD43030" w:rsidR="00DA3AE9" w:rsidRPr="00FA03D7" w:rsidRDefault="001A406E" w:rsidP="00E92D07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FA03D7">
        <w:rPr>
          <w:rFonts w:ascii="Verdana" w:hAnsi="Verdana" w:cs="Arial"/>
          <w:sz w:val="24"/>
          <w:szCs w:val="24"/>
        </w:rPr>
        <w:t>The total fundi</w:t>
      </w:r>
      <w:r w:rsidR="00F74FB6" w:rsidRPr="00FA03D7">
        <w:rPr>
          <w:rFonts w:ascii="Verdana" w:hAnsi="Verdana" w:cs="Arial"/>
          <w:sz w:val="24"/>
          <w:szCs w:val="24"/>
        </w:rPr>
        <w:t>ng that WCC will receive in 2017/18</w:t>
      </w:r>
      <w:r w:rsidRPr="00FA03D7">
        <w:rPr>
          <w:rFonts w:ascii="Verdana" w:hAnsi="Verdana" w:cs="Arial"/>
          <w:sz w:val="24"/>
          <w:szCs w:val="24"/>
        </w:rPr>
        <w:t xml:space="preserve"> for the Schools Block is £</w:t>
      </w:r>
      <w:r w:rsidR="00F74FB6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112.05</w:t>
      </w:r>
      <w:r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m</w:t>
      </w:r>
      <w:r w:rsidR="00570599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.  </w:t>
      </w:r>
      <w:r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This is approximately £</w:t>
      </w:r>
      <w:r w:rsidR="009C2A7D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0.45</w:t>
      </w:r>
      <w:r w:rsidR="00F74FB6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m</w:t>
      </w:r>
      <w:r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</w:t>
      </w:r>
      <w:r w:rsidR="00F74FB6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less than 2016/17</w:t>
      </w:r>
      <w:r w:rsidR="00D97146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(</w:t>
      </w:r>
      <w:r w:rsidR="00202E94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taking in to consideration figures</w:t>
      </w:r>
      <w:r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before recoupment for academies</w:t>
      </w:r>
      <w:r w:rsidR="00D97146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)</w:t>
      </w:r>
      <w:r w:rsidR="00570599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.  </w:t>
      </w:r>
    </w:p>
    <w:p w14:paraId="6349713C" w14:textId="77777777" w:rsidR="00A61FDE" w:rsidRPr="00FA03D7" w:rsidRDefault="00A61FDE" w:rsidP="00A61FDE">
      <w:pPr>
        <w:pStyle w:val="ListParagraph"/>
        <w:spacing w:after="0" w:line="360" w:lineRule="auto"/>
        <w:ind w:left="851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</w:p>
    <w:p w14:paraId="4E8CD3A1" w14:textId="54F674BD" w:rsidR="003112C7" w:rsidRPr="00FA03D7" w:rsidRDefault="000D5B51" w:rsidP="003112C7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FA03D7"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>201</w:t>
      </w:r>
      <w:r w:rsidR="00336518" w:rsidRPr="00FA03D7"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>6</w:t>
      </w:r>
      <w:r w:rsidRPr="00FA03D7"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 xml:space="preserve"> Data Sets</w:t>
      </w:r>
      <w:r w:rsidR="0057361A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</w:t>
      </w:r>
      <w:r w:rsidR="00F74FB6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The APT tool </w:t>
      </w:r>
      <w:r w:rsidR="000E1CF2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includes</w:t>
      </w:r>
      <w:r w:rsidR="00F74FB6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</w:t>
      </w:r>
      <w:r w:rsidR="000E1CF2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data from the </w:t>
      </w:r>
      <w:r w:rsidR="00F74FB6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2016</w:t>
      </w:r>
      <w:r w:rsidR="002F6933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October </w:t>
      </w:r>
      <w:r w:rsidR="000E1CF2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census</w:t>
      </w:r>
      <w:r w:rsidR="002F6933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(and wh</w:t>
      </w:r>
      <w:r w:rsidR="00A9460C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ere appropriate e.g</w:t>
      </w:r>
      <w:r w:rsidR="000E1CF2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.</w:t>
      </w:r>
      <w:r w:rsidR="00A9460C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January 2016</w:t>
      </w:r>
      <w:r w:rsidR="002F6933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for FSM6)</w:t>
      </w:r>
      <w:r w:rsidR="000E1CF2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and is the basis on which funding will be allocated</w:t>
      </w:r>
      <w:r w:rsidR="00570599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.  </w:t>
      </w:r>
      <w:r w:rsidR="00372A4F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Table 3</w:t>
      </w:r>
      <w:r w:rsidR="002F6933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</w:t>
      </w:r>
      <w:r w:rsidR="000E1CF2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sets out</w:t>
      </w:r>
      <w:r w:rsidR="00995C5D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the movement in data across primary and s</w:t>
      </w:r>
      <w:r w:rsidR="002F6933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>econdary</w:t>
      </w:r>
      <w:r w:rsidR="00570599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.  </w:t>
      </w:r>
      <w:r w:rsidR="002F6933" w:rsidRPr="00FA03D7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</w:t>
      </w:r>
    </w:p>
    <w:p w14:paraId="0B9FAA3F" w14:textId="77777777" w:rsidR="003112C7" w:rsidRPr="00FA03D7" w:rsidRDefault="003112C7" w:rsidP="003112C7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</w:p>
    <w:p w14:paraId="0752F5CD" w14:textId="77777777" w:rsidR="003112C7" w:rsidRPr="00FA03D7" w:rsidRDefault="003112C7" w:rsidP="003112C7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</w:pPr>
      <w:r w:rsidRPr="00FA03D7">
        <w:rPr>
          <w:rFonts w:ascii="Verdana" w:hAnsi="Verdana"/>
          <w:b/>
          <w:sz w:val="24"/>
          <w:szCs w:val="24"/>
          <w:lang w:eastAsia="en-GB"/>
        </w:rPr>
        <w:t>Analysis of data sets</w:t>
      </w:r>
    </w:p>
    <w:p w14:paraId="14AC74D2" w14:textId="77777777" w:rsidR="00EC51CE" w:rsidRPr="00FA03D7" w:rsidRDefault="00792FDF" w:rsidP="0011490A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FA03D7">
        <w:rPr>
          <w:rFonts w:ascii="Verdana" w:hAnsi="Verdana" w:cs="Arial"/>
          <w:b/>
          <w:sz w:val="24"/>
          <w:szCs w:val="24"/>
        </w:rPr>
        <w:t xml:space="preserve">Numbers on </w:t>
      </w:r>
      <w:r w:rsidR="002421B9" w:rsidRPr="00FA03D7">
        <w:rPr>
          <w:rFonts w:ascii="Verdana" w:hAnsi="Verdana" w:cs="Arial"/>
          <w:b/>
          <w:sz w:val="24"/>
          <w:szCs w:val="24"/>
        </w:rPr>
        <w:t>r</w:t>
      </w:r>
      <w:r w:rsidRPr="00FA03D7">
        <w:rPr>
          <w:rFonts w:ascii="Verdana" w:hAnsi="Verdana" w:cs="Arial"/>
          <w:b/>
          <w:sz w:val="24"/>
          <w:szCs w:val="24"/>
        </w:rPr>
        <w:t>oll</w:t>
      </w:r>
      <w:r w:rsidR="002421B9" w:rsidRPr="00FA03D7">
        <w:rPr>
          <w:rFonts w:ascii="Verdana" w:hAnsi="Verdana" w:cs="Arial"/>
          <w:b/>
          <w:sz w:val="24"/>
          <w:szCs w:val="24"/>
        </w:rPr>
        <w:t xml:space="preserve"> </w:t>
      </w:r>
      <w:r w:rsidR="00EC51CE" w:rsidRPr="00FA03D7">
        <w:rPr>
          <w:rFonts w:ascii="Verdana" w:hAnsi="Verdana" w:cs="Arial"/>
          <w:sz w:val="24"/>
          <w:szCs w:val="24"/>
        </w:rPr>
        <w:t xml:space="preserve">in 2017/18 </w:t>
      </w:r>
      <w:r w:rsidRPr="00FA03D7">
        <w:rPr>
          <w:rFonts w:ascii="Verdana" w:hAnsi="Verdana" w:cs="Arial"/>
          <w:sz w:val="24"/>
          <w:szCs w:val="24"/>
        </w:rPr>
        <w:t>have decreased by 265 pupils</w:t>
      </w:r>
      <w:r w:rsidR="00B02711" w:rsidRPr="00FA03D7">
        <w:rPr>
          <w:rFonts w:ascii="Verdana" w:hAnsi="Verdana" w:cs="Arial"/>
          <w:sz w:val="24"/>
          <w:szCs w:val="24"/>
        </w:rPr>
        <w:t xml:space="preserve"> </w:t>
      </w:r>
      <w:r w:rsidR="00EC51CE" w:rsidRPr="00FA03D7">
        <w:rPr>
          <w:rFonts w:ascii="Verdana" w:hAnsi="Verdana" w:cs="Arial"/>
          <w:sz w:val="24"/>
          <w:szCs w:val="24"/>
        </w:rPr>
        <w:t xml:space="preserve">in comparison to data from 2016/17 (as set out in Table 3). </w:t>
      </w:r>
      <w:r w:rsidR="00570599" w:rsidRPr="00FA03D7">
        <w:rPr>
          <w:rFonts w:ascii="Verdana" w:hAnsi="Verdana" w:cs="Arial"/>
          <w:sz w:val="24"/>
          <w:szCs w:val="24"/>
        </w:rPr>
        <w:t xml:space="preserve"> </w:t>
      </w:r>
    </w:p>
    <w:p w14:paraId="370A4A5F" w14:textId="77777777" w:rsidR="0011490A" w:rsidRPr="00FA03D7" w:rsidRDefault="00792FDF" w:rsidP="00001222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FA03D7">
        <w:rPr>
          <w:rFonts w:ascii="Verdana" w:hAnsi="Verdana" w:cs="Arial"/>
          <w:sz w:val="24"/>
          <w:szCs w:val="24"/>
        </w:rPr>
        <w:t xml:space="preserve">This is made up of a </w:t>
      </w:r>
      <w:r w:rsidR="00EC51CE" w:rsidRPr="00FA03D7">
        <w:rPr>
          <w:rFonts w:ascii="Verdana" w:hAnsi="Verdana" w:cs="Arial"/>
          <w:sz w:val="24"/>
          <w:szCs w:val="24"/>
        </w:rPr>
        <w:t>decrease in the number on roll</w:t>
      </w:r>
      <w:r w:rsidRPr="00FA03D7">
        <w:rPr>
          <w:rFonts w:ascii="Verdana" w:hAnsi="Verdana" w:cs="Arial"/>
          <w:sz w:val="24"/>
          <w:szCs w:val="24"/>
        </w:rPr>
        <w:t xml:space="preserve"> of</w:t>
      </w:r>
      <w:r w:rsidR="00001222" w:rsidRPr="00FA03D7">
        <w:rPr>
          <w:rFonts w:ascii="Verdana" w:hAnsi="Verdana" w:cs="Arial"/>
          <w:sz w:val="24"/>
          <w:szCs w:val="24"/>
        </w:rPr>
        <w:t xml:space="preserve">: </w:t>
      </w:r>
      <w:r w:rsidRPr="00FA03D7">
        <w:rPr>
          <w:rFonts w:ascii="Verdana" w:hAnsi="Verdana" w:cs="Arial"/>
          <w:sz w:val="24"/>
          <w:szCs w:val="24"/>
        </w:rPr>
        <w:t>291</w:t>
      </w:r>
      <w:r w:rsidR="00EC51CE" w:rsidRPr="00FA03D7">
        <w:rPr>
          <w:rFonts w:ascii="Verdana" w:hAnsi="Verdana" w:cs="Arial"/>
          <w:sz w:val="24"/>
          <w:szCs w:val="24"/>
        </w:rPr>
        <w:t xml:space="preserve"> in primary schools; and</w:t>
      </w:r>
      <w:r w:rsidR="00001222" w:rsidRPr="00FA03D7">
        <w:rPr>
          <w:rFonts w:ascii="Verdana" w:hAnsi="Verdana" w:cs="Arial"/>
          <w:sz w:val="24"/>
          <w:szCs w:val="24"/>
        </w:rPr>
        <w:t xml:space="preserve"> </w:t>
      </w:r>
      <w:r w:rsidR="00EC51CE" w:rsidRPr="00FA03D7">
        <w:rPr>
          <w:rFonts w:ascii="Verdana" w:hAnsi="Verdana" w:cs="Arial"/>
          <w:sz w:val="24"/>
          <w:szCs w:val="24"/>
        </w:rPr>
        <w:t>a</w:t>
      </w:r>
      <w:r w:rsidR="002421B9" w:rsidRPr="00FA03D7">
        <w:rPr>
          <w:rFonts w:ascii="Verdana" w:hAnsi="Verdana" w:cs="Arial"/>
          <w:sz w:val="24"/>
          <w:szCs w:val="24"/>
        </w:rPr>
        <w:t xml:space="preserve">n </w:t>
      </w:r>
      <w:r w:rsidRPr="00FA03D7">
        <w:rPr>
          <w:rFonts w:ascii="Verdana" w:hAnsi="Verdana" w:cs="Arial"/>
          <w:sz w:val="24"/>
          <w:szCs w:val="24"/>
        </w:rPr>
        <w:t>increase of 26 in secondary</w:t>
      </w:r>
      <w:r w:rsidR="00EC51CE" w:rsidRPr="00FA03D7">
        <w:rPr>
          <w:rFonts w:ascii="Verdana" w:hAnsi="Verdana" w:cs="Arial"/>
          <w:sz w:val="24"/>
          <w:szCs w:val="24"/>
        </w:rPr>
        <w:t>.</w:t>
      </w:r>
    </w:p>
    <w:p w14:paraId="20D3ED30" w14:textId="77777777" w:rsidR="0078573D" w:rsidRPr="00FA03D7" w:rsidRDefault="00792FDF" w:rsidP="0011490A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FA03D7">
        <w:rPr>
          <w:rFonts w:ascii="Verdana" w:hAnsi="Verdana" w:cs="Arial"/>
          <w:b/>
          <w:sz w:val="24"/>
          <w:szCs w:val="24"/>
        </w:rPr>
        <w:t>Free School Meals Ever 6</w:t>
      </w:r>
      <w:r w:rsidR="008D5CED" w:rsidRPr="00FA03D7">
        <w:rPr>
          <w:rFonts w:ascii="Verdana" w:hAnsi="Verdana" w:cs="Arial"/>
          <w:b/>
          <w:sz w:val="24"/>
          <w:szCs w:val="24"/>
        </w:rPr>
        <w:t xml:space="preserve"> </w:t>
      </w:r>
      <w:r w:rsidR="00EC51CE" w:rsidRPr="00FA03D7">
        <w:rPr>
          <w:rFonts w:ascii="Verdana" w:hAnsi="Verdana" w:cs="Arial"/>
          <w:sz w:val="24"/>
          <w:szCs w:val="24"/>
        </w:rPr>
        <w:t>data includes</w:t>
      </w:r>
      <w:r w:rsidR="00652F04" w:rsidRPr="00FA03D7">
        <w:rPr>
          <w:rFonts w:ascii="Verdana" w:hAnsi="Verdana" w:cs="Arial"/>
          <w:sz w:val="24"/>
          <w:szCs w:val="24"/>
        </w:rPr>
        <w:t xml:space="preserve"> children who are eligible for Free S</w:t>
      </w:r>
      <w:r w:rsidRPr="00FA03D7">
        <w:rPr>
          <w:rFonts w:ascii="Verdana" w:hAnsi="Verdana" w:cs="Arial"/>
          <w:sz w:val="24"/>
          <w:szCs w:val="24"/>
        </w:rPr>
        <w:t>chool</w:t>
      </w:r>
      <w:r w:rsidR="00652F04" w:rsidRPr="00FA03D7">
        <w:rPr>
          <w:rFonts w:ascii="Verdana" w:hAnsi="Verdana" w:cs="Arial"/>
          <w:sz w:val="24"/>
          <w:szCs w:val="24"/>
        </w:rPr>
        <w:t xml:space="preserve"> M</w:t>
      </w:r>
      <w:r w:rsidR="0078573D" w:rsidRPr="00FA03D7">
        <w:rPr>
          <w:rFonts w:ascii="Verdana" w:hAnsi="Verdana" w:cs="Arial"/>
          <w:sz w:val="24"/>
          <w:szCs w:val="24"/>
        </w:rPr>
        <w:t xml:space="preserve">eals (FSM), </w:t>
      </w:r>
      <w:r w:rsidRPr="00FA03D7">
        <w:rPr>
          <w:rFonts w:ascii="Verdana" w:hAnsi="Verdana" w:cs="Arial"/>
          <w:sz w:val="24"/>
          <w:szCs w:val="24"/>
        </w:rPr>
        <w:t xml:space="preserve">or have been eligible at any point in the last </w:t>
      </w:r>
      <w:r w:rsidR="0078573D" w:rsidRPr="00FA03D7">
        <w:rPr>
          <w:rFonts w:ascii="Verdana" w:hAnsi="Verdana" w:cs="Arial"/>
          <w:sz w:val="24"/>
          <w:szCs w:val="24"/>
        </w:rPr>
        <w:t>six</w:t>
      </w:r>
      <w:r w:rsidRPr="00FA03D7">
        <w:rPr>
          <w:rFonts w:ascii="Verdana" w:hAnsi="Verdana" w:cs="Arial"/>
          <w:sz w:val="24"/>
          <w:szCs w:val="24"/>
        </w:rPr>
        <w:t xml:space="preserve"> years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7D3F19A2" w14:textId="77777777" w:rsidR="00EC51CE" w:rsidRPr="00FA03D7" w:rsidRDefault="00792FDF" w:rsidP="0078573D">
      <w:pPr>
        <w:pStyle w:val="ListParagraph"/>
        <w:numPr>
          <w:ilvl w:val="2"/>
          <w:numId w:val="19"/>
        </w:numPr>
        <w:spacing w:after="0" w:line="360" w:lineRule="auto"/>
        <w:ind w:left="851" w:hanging="851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FA03D7">
        <w:rPr>
          <w:rFonts w:ascii="Verdana" w:hAnsi="Verdana" w:cs="Arial"/>
          <w:sz w:val="24"/>
          <w:szCs w:val="24"/>
        </w:rPr>
        <w:t xml:space="preserve">In 2017/18 there </w:t>
      </w:r>
      <w:r w:rsidR="00F54D57" w:rsidRPr="00FA03D7">
        <w:rPr>
          <w:rFonts w:ascii="Verdana" w:hAnsi="Verdana" w:cs="Arial"/>
          <w:sz w:val="24"/>
          <w:szCs w:val="24"/>
        </w:rPr>
        <w:t>will be</w:t>
      </w:r>
      <w:r w:rsidRPr="00FA03D7">
        <w:rPr>
          <w:rFonts w:ascii="Verdana" w:hAnsi="Verdana" w:cs="Arial"/>
          <w:sz w:val="24"/>
          <w:szCs w:val="24"/>
        </w:rPr>
        <w:t xml:space="preserve"> a decrease of 583 </w:t>
      </w:r>
      <w:r w:rsidR="0078573D" w:rsidRPr="00FA03D7">
        <w:rPr>
          <w:rFonts w:ascii="Verdana" w:hAnsi="Verdana" w:cs="Arial"/>
          <w:sz w:val="24"/>
          <w:szCs w:val="24"/>
        </w:rPr>
        <w:t xml:space="preserve">eligible pupils </w:t>
      </w:r>
      <w:r w:rsidRPr="00FA03D7">
        <w:rPr>
          <w:rFonts w:ascii="Verdana" w:hAnsi="Verdana" w:cs="Arial"/>
          <w:sz w:val="24"/>
          <w:szCs w:val="24"/>
        </w:rPr>
        <w:t>across</w:t>
      </w:r>
      <w:r w:rsidR="00EC51CE" w:rsidRPr="00FA03D7">
        <w:rPr>
          <w:rFonts w:ascii="Verdana" w:hAnsi="Verdana" w:cs="Arial"/>
          <w:sz w:val="24"/>
          <w:szCs w:val="24"/>
        </w:rPr>
        <w:t xml:space="preserve"> both</w:t>
      </w:r>
      <w:r w:rsidRPr="00FA03D7">
        <w:rPr>
          <w:rFonts w:ascii="Verdana" w:hAnsi="Verdana" w:cs="Arial"/>
          <w:sz w:val="24"/>
          <w:szCs w:val="24"/>
        </w:rPr>
        <w:t xml:space="preserve"> primary and secondary schools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78C75BD3" w14:textId="77777777" w:rsidR="005B0789" w:rsidRPr="00FA03D7" w:rsidRDefault="00792FDF" w:rsidP="0078573D">
      <w:pPr>
        <w:pStyle w:val="ListParagraph"/>
        <w:numPr>
          <w:ilvl w:val="2"/>
          <w:numId w:val="19"/>
        </w:numPr>
        <w:spacing w:after="0" w:line="360" w:lineRule="auto"/>
        <w:ind w:left="851" w:hanging="851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FA03D7">
        <w:rPr>
          <w:rFonts w:ascii="Verdana" w:hAnsi="Verdana" w:cs="Arial"/>
          <w:sz w:val="24"/>
          <w:szCs w:val="24"/>
        </w:rPr>
        <w:t xml:space="preserve">This creates a </w:t>
      </w:r>
      <w:r w:rsidR="00A84F21" w:rsidRPr="00FA03D7">
        <w:rPr>
          <w:rFonts w:ascii="Verdana" w:hAnsi="Verdana" w:cs="Arial"/>
          <w:sz w:val="24"/>
          <w:szCs w:val="24"/>
        </w:rPr>
        <w:t xml:space="preserve">per pupil funding </w:t>
      </w:r>
      <w:r w:rsidRPr="00FA03D7">
        <w:rPr>
          <w:rFonts w:ascii="Verdana" w:hAnsi="Verdana" w:cs="Arial"/>
          <w:sz w:val="24"/>
          <w:szCs w:val="24"/>
        </w:rPr>
        <w:t xml:space="preserve">impact of £954.16 </w:t>
      </w:r>
      <w:r w:rsidR="008C3A7F" w:rsidRPr="00FA03D7">
        <w:rPr>
          <w:rFonts w:ascii="Verdana" w:hAnsi="Verdana" w:cs="Arial"/>
          <w:sz w:val="24"/>
          <w:szCs w:val="24"/>
        </w:rPr>
        <w:t xml:space="preserve">and £1220.32 </w:t>
      </w:r>
      <w:r w:rsidRPr="00FA03D7">
        <w:rPr>
          <w:rFonts w:ascii="Verdana" w:hAnsi="Verdana" w:cs="Arial"/>
          <w:sz w:val="24"/>
          <w:szCs w:val="24"/>
        </w:rPr>
        <w:t xml:space="preserve">for </w:t>
      </w:r>
      <w:r w:rsidR="0078573D" w:rsidRPr="00FA03D7">
        <w:rPr>
          <w:rFonts w:ascii="Verdana" w:hAnsi="Verdana" w:cs="Arial"/>
          <w:sz w:val="24"/>
          <w:szCs w:val="24"/>
        </w:rPr>
        <w:t xml:space="preserve">each </w:t>
      </w:r>
      <w:r w:rsidRPr="00FA03D7">
        <w:rPr>
          <w:rFonts w:ascii="Verdana" w:hAnsi="Verdana" w:cs="Arial"/>
          <w:sz w:val="24"/>
          <w:szCs w:val="24"/>
        </w:rPr>
        <w:t xml:space="preserve">primary </w:t>
      </w:r>
      <w:r w:rsidR="008C3A7F" w:rsidRPr="00FA03D7">
        <w:rPr>
          <w:rFonts w:ascii="Verdana" w:hAnsi="Verdana" w:cs="Arial"/>
          <w:sz w:val="24"/>
          <w:szCs w:val="24"/>
        </w:rPr>
        <w:t xml:space="preserve">and </w:t>
      </w:r>
      <w:r w:rsidR="0078573D" w:rsidRPr="00FA03D7">
        <w:rPr>
          <w:rFonts w:ascii="Verdana" w:hAnsi="Verdana" w:cs="Arial"/>
          <w:sz w:val="24"/>
          <w:szCs w:val="24"/>
        </w:rPr>
        <w:t>s</w:t>
      </w:r>
      <w:r w:rsidRPr="00FA03D7">
        <w:rPr>
          <w:rFonts w:ascii="Verdana" w:hAnsi="Verdana" w:cs="Arial"/>
          <w:sz w:val="24"/>
          <w:szCs w:val="24"/>
        </w:rPr>
        <w:t>econdary</w:t>
      </w:r>
      <w:r w:rsidR="008C3A7F" w:rsidRPr="00FA03D7">
        <w:rPr>
          <w:rFonts w:ascii="Verdana" w:hAnsi="Verdana" w:cs="Arial"/>
          <w:sz w:val="24"/>
          <w:szCs w:val="24"/>
        </w:rPr>
        <w:t xml:space="preserve"> </w:t>
      </w:r>
      <w:r w:rsidR="00A84F21" w:rsidRPr="00FA03D7">
        <w:rPr>
          <w:rFonts w:ascii="Verdana" w:hAnsi="Verdana" w:cs="Arial"/>
          <w:sz w:val="24"/>
          <w:szCs w:val="24"/>
        </w:rPr>
        <w:t xml:space="preserve">school </w:t>
      </w:r>
      <w:r w:rsidR="008C3A7F" w:rsidRPr="00FA03D7">
        <w:rPr>
          <w:rFonts w:ascii="Verdana" w:hAnsi="Verdana" w:cs="Arial"/>
          <w:sz w:val="24"/>
          <w:szCs w:val="24"/>
        </w:rPr>
        <w:t>respectively</w:t>
      </w:r>
      <w:r w:rsidRPr="00FA03D7">
        <w:rPr>
          <w:rFonts w:ascii="Verdana" w:hAnsi="Verdana" w:cs="Arial"/>
          <w:sz w:val="24"/>
          <w:szCs w:val="24"/>
        </w:rPr>
        <w:t>.</w:t>
      </w:r>
    </w:p>
    <w:p w14:paraId="131AB726" w14:textId="77777777" w:rsidR="00205929" w:rsidRPr="00FA03D7" w:rsidRDefault="00205929" w:rsidP="0095280E">
      <w:pPr>
        <w:pStyle w:val="ListParagraph"/>
        <w:numPr>
          <w:ilvl w:val="2"/>
          <w:numId w:val="19"/>
        </w:numPr>
        <w:spacing w:after="0" w:line="360" w:lineRule="auto"/>
        <w:ind w:left="851" w:hanging="851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FA03D7">
        <w:rPr>
          <w:rFonts w:ascii="Verdana" w:hAnsi="Verdana" w:cs="Arial"/>
          <w:sz w:val="24"/>
          <w:szCs w:val="24"/>
        </w:rPr>
        <w:t xml:space="preserve">The largest reductions </w:t>
      </w:r>
      <w:r w:rsidR="00AC1FE7" w:rsidRPr="00FA03D7">
        <w:rPr>
          <w:rFonts w:ascii="Verdana" w:hAnsi="Verdana" w:cs="Arial"/>
          <w:sz w:val="24"/>
          <w:szCs w:val="24"/>
        </w:rPr>
        <w:t xml:space="preserve">of </w:t>
      </w:r>
      <w:r w:rsidR="00CF3DD7" w:rsidRPr="00FA03D7">
        <w:rPr>
          <w:rFonts w:ascii="Verdana" w:hAnsi="Verdana" w:cs="Arial"/>
          <w:sz w:val="24"/>
          <w:szCs w:val="24"/>
        </w:rPr>
        <w:t>primary</w:t>
      </w:r>
      <w:r w:rsidR="00F30389" w:rsidRPr="00FA03D7">
        <w:rPr>
          <w:rFonts w:ascii="Verdana" w:hAnsi="Verdana" w:cs="Arial"/>
          <w:sz w:val="24"/>
          <w:szCs w:val="24"/>
        </w:rPr>
        <w:t xml:space="preserve"> Ever 6 Units </w:t>
      </w:r>
      <w:r w:rsidRPr="00FA03D7">
        <w:rPr>
          <w:rFonts w:ascii="Verdana" w:hAnsi="Verdana" w:cs="Arial"/>
          <w:sz w:val="24"/>
          <w:szCs w:val="24"/>
        </w:rPr>
        <w:t>in are detailed in Table 4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02F0EC46" w14:textId="77777777" w:rsidR="008F5D3B" w:rsidRPr="00FA03D7" w:rsidRDefault="008F5D3B" w:rsidP="00F54D57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b/>
          <w:sz w:val="24"/>
          <w:szCs w:val="24"/>
        </w:rPr>
        <w:t xml:space="preserve">EAL 3 </w:t>
      </w:r>
      <w:r w:rsidR="00001222" w:rsidRPr="00FA03D7">
        <w:rPr>
          <w:rFonts w:ascii="Verdana" w:hAnsi="Verdana" w:cs="Arial"/>
          <w:sz w:val="24"/>
          <w:szCs w:val="24"/>
        </w:rPr>
        <w:t>sets</w:t>
      </w:r>
      <w:r w:rsidR="00652B30" w:rsidRPr="00FA03D7">
        <w:rPr>
          <w:rFonts w:ascii="Verdana" w:hAnsi="Verdana" w:cs="Arial"/>
          <w:sz w:val="24"/>
          <w:szCs w:val="24"/>
        </w:rPr>
        <w:t xml:space="preserve"> out</w:t>
      </w:r>
      <w:r w:rsidRPr="00FA03D7">
        <w:rPr>
          <w:rFonts w:ascii="Verdana" w:hAnsi="Verdana" w:cs="Arial"/>
          <w:sz w:val="24"/>
          <w:szCs w:val="24"/>
        </w:rPr>
        <w:t xml:space="preserve"> </w:t>
      </w:r>
      <w:r w:rsidR="00001222" w:rsidRPr="00FA03D7">
        <w:rPr>
          <w:rFonts w:ascii="Verdana" w:hAnsi="Verdana" w:cs="Arial"/>
          <w:sz w:val="24"/>
          <w:szCs w:val="24"/>
        </w:rPr>
        <w:t xml:space="preserve">an allocation for schools with </w:t>
      </w:r>
      <w:r w:rsidRPr="00FA03D7">
        <w:rPr>
          <w:rFonts w:ascii="Verdana" w:hAnsi="Verdana" w:cs="Arial"/>
          <w:sz w:val="24"/>
          <w:szCs w:val="24"/>
        </w:rPr>
        <w:t>children with English as an Additional Language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="00F54D57" w:rsidRPr="00FA03D7">
        <w:rPr>
          <w:rFonts w:ascii="Verdana" w:hAnsi="Verdana" w:cs="Arial"/>
          <w:sz w:val="24"/>
          <w:szCs w:val="24"/>
        </w:rPr>
        <w:t>In 2017/18 there will be a</w:t>
      </w:r>
      <w:r w:rsidR="00652B30" w:rsidRPr="00FA03D7">
        <w:rPr>
          <w:rFonts w:ascii="Verdana" w:hAnsi="Verdana" w:cs="Arial"/>
          <w:sz w:val="24"/>
          <w:szCs w:val="24"/>
        </w:rPr>
        <w:t xml:space="preserve"> </w:t>
      </w:r>
      <w:r w:rsidRPr="00FA03D7">
        <w:rPr>
          <w:rFonts w:ascii="Verdana" w:hAnsi="Verdana" w:cs="Arial"/>
          <w:sz w:val="24"/>
          <w:szCs w:val="24"/>
        </w:rPr>
        <w:t xml:space="preserve">net reduction in </w:t>
      </w:r>
      <w:r w:rsidR="00652B30" w:rsidRPr="00FA03D7">
        <w:rPr>
          <w:rFonts w:ascii="Verdana" w:hAnsi="Verdana" w:cs="Arial"/>
          <w:sz w:val="24"/>
          <w:szCs w:val="24"/>
        </w:rPr>
        <w:t>p</w:t>
      </w:r>
      <w:r w:rsidRPr="00FA03D7">
        <w:rPr>
          <w:rFonts w:ascii="Verdana" w:hAnsi="Verdana" w:cs="Arial"/>
          <w:sz w:val="24"/>
          <w:szCs w:val="24"/>
        </w:rPr>
        <w:t xml:space="preserve">rimary </w:t>
      </w:r>
      <w:r w:rsidR="00652B30" w:rsidRPr="00FA03D7">
        <w:rPr>
          <w:rFonts w:ascii="Verdana" w:hAnsi="Verdana" w:cs="Arial"/>
          <w:sz w:val="24"/>
          <w:szCs w:val="24"/>
        </w:rPr>
        <w:t xml:space="preserve">pupils of </w:t>
      </w:r>
      <w:r w:rsidRPr="00FA03D7">
        <w:rPr>
          <w:rFonts w:ascii="Verdana" w:hAnsi="Verdana" w:cs="Arial"/>
          <w:sz w:val="24"/>
          <w:szCs w:val="24"/>
        </w:rPr>
        <w:t xml:space="preserve">147 and 80 in </w:t>
      </w:r>
      <w:r w:rsidR="00652B30" w:rsidRPr="00FA03D7">
        <w:rPr>
          <w:rFonts w:ascii="Verdana" w:hAnsi="Verdana" w:cs="Arial"/>
          <w:sz w:val="24"/>
          <w:szCs w:val="24"/>
        </w:rPr>
        <w:t>secondary sch</w:t>
      </w:r>
      <w:r w:rsidRPr="00FA03D7">
        <w:rPr>
          <w:rFonts w:ascii="Verdana" w:hAnsi="Verdana" w:cs="Arial"/>
          <w:sz w:val="24"/>
          <w:szCs w:val="24"/>
        </w:rPr>
        <w:t xml:space="preserve">ools </w:t>
      </w:r>
    </w:p>
    <w:p w14:paraId="6FA4E722" w14:textId="77777777" w:rsidR="008F5D3B" w:rsidRPr="00FA03D7" w:rsidRDefault="008F5D3B" w:rsidP="008F5D3B">
      <w:pPr>
        <w:pStyle w:val="ListParagraph"/>
        <w:numPr>
          <w:ilvl w:val="2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 xml:space="preserve">It should be noted that </w:t>
      </w:r>
      <w:r w:rsidR="00001222" w:rsidRPr="00FA03D7">
        <w:rPr>
          <w:rFonts w:ascii="Verdana" w:hAnsi="Verdana" w:cs="Arial"/>
          <w:sz w:val="24"/>
          <w:szCs w:val="24"/>
        </w:rPr>
        <w:t xml:space="preserve">the formula for </w:t>
      </w:r>
      <w:r w:rsidRPr="00FA03D7">
        <w:rPr>
          <w:rFonts w:ascii="Verdana" w:hAnsi="Verdana" w:cs="Arial"/>
          <w:sz w:val="24"/>
          <w:szCs w:val="24"/>
        </w:rPr>
        <w:t xml:space="preserve">each </w:t>
      </w:r>
      <w:r w:rsidR="00AC1FE7" w:rsidRPr="00FA03D7">
        <w:rPr>
          <w:rFonts w:ascii="Verdana" w:hAnsi="Verdana" w:cs="Arial"/>
          <w:sz w:val="24"/>
          <w:szCs w:val="24"/>
        </w:rPr>
        <w:t xml:space="preserve">primary </w:t>
      </w:r>
      <w:r w:rsidR="00E11BBF" w:rsidRPr="00FA03D7">
        <w:rPr>
          <w:rFonts w:ascii="Verdana" w:hAnsi="Verdana" w:cs="Arial"/>
          <w:sz w:val="24"/>
          <w:szCs w:val="24"/>
        </w:rPr>
        <w:t xml:space="preserve">and secondary </w:t>
      </w:r>
      <w:r w:rsidR="00AC1FE7" w:rsidRPr="00FA03D7">
        <w:rPr>
          <w:rFonts w:ascii="Verdana" w:hAnsi="Verdana" w:cs="Arial"/>
          <w:sz w:val="24"/>
          <w:szCs w:val="24"/>
        </w:rPr>
        <w:t xml:space="preserve">aged </w:t>
      </w:r>
      <w:r w:rsidRPr="00FA03D7">
        <w:rPr>
          <w:rFonts w:ascii="Verdana" w:hAnsi="Verdana" w:cs="Arial"/>
          <w:sz w:val="24"/>
          <w:szCs w:val="24"/>
        </w:rPr>
        <w:t>EAL</w:t>
      </w:r>
      <w:r w:rsidR="00E11BBF" w:rsidRPr="00FA03D7">
        <w:rPr>
          <w:rFonts w:ascii="Verdana" w:hAnsi="Verdana" w:cs="Arial"/>
          <w:sz w:val="24"/>
          <w:szCs w:val="24"/>
        </w:rPr>
        <w:t xml:space="preserve"> 3</w:t>
      </w:r>
      <w:r w:rsidRPr="00FA03D7">
        <w:rPr>
          <w:rFonts w:ascii="Verdana" w:hAnsi="Verdana" w:cs="Arial"/>
          <w:sz w:val="24"/>
          <w:szCs w:val="24"/>
        </w:rPr>
        <w:t xml:space="preserve"> pupil attract</w:t>
      </w:r>
      <w:r w:rsidR="00E11BBF" w:rsidRPr="00FA03D7">
        <w:rPr>
          <w:rFonts w:ascii="Verdana" w:hAnsi="Verdana" w:cs="Arial"/>
          <w:sz w:val="24"/>
          <w:szCs w:val="24"/>
        </w:rPr>
        <w:t>s</w:t>
      </w:r>
      <w:r w:rsidRPr="00FA03D7">
        <w:rPr>
          <w:rFonts w:ascii="Verdana" w:hAnsi="Verdana" w:cs="Arial"/>
          <w:sz w:val="24"/>
          <w:szCs w:val="24"/>
        </w:rPr>
        <w:t xml:space="preserve"> </w:t>
      </w:r>
      <w:r w:rsidR="00001222" w:rsidRPr="00FA03D7">
        <w:rPr>
          <w:rFonts w:ascii="Verdana" w:hAnsi="Verdana" w:cs="Arial"/>
          <w:sz w:val="24"/>
          <w:szCs w:val="24"/>
        </w:rPr>
        <w:t xml:space="preserve">funding of </w:t>
      </w:r>
      <w:r w:rsidRPr="00FA03D7">
        <w:rPr>
          <w:rFonts w:ascii="Verdana" w:hAnsi="Verdana" w:cs="Arial"/>
          <w:sz w:val="24"/>
          <w:szCs w:val="24"/>
        </w:rPr>
        <w:t xml:space="preserve">£600 </w:t>
      </w:r>
      <w:r w:rsidR="00E11BBF" w:rsidRPr="00FA03D7">
        <w:rPr>
          <w:rFonts w:ascii="Verdana" w:hAnsi="Verdana" w:cs="Arial"/>
          <w:sz w:val="24"/>
          <w:szCs w:val="24"/>
        </w:rPr>
        <w:t xml:space="preserve">and </w:t>
      </w:r>
      <w:r w:rsidRPr="00FA03D7">
        <w:rPr>
          <w:rFonts w:ascii="Verdana" w:hAnsi="Verdana" w:cs="Arial"/>
          <w:sz w:val="24"/>
          <w:szCs w:val="24"/>
        </w:rPr>
        <w:t>£3,209</w:t>
      </w:r>
      <w:r w:rsidR="00E11BBF" w:rsidRPr="00FA03D7">
        <w:rPr>
          <w:rFonts w:ascii="Verdana" w:hAnsi="Verdana" w:cs="Arial"/>
          <w:sz w:val="24"/>
          <w:szCs w:val="24"/>
        </w:rPr>
        <w:t xml:space="preserve"> respectively</w:t>
      </w:r>
      <w:r w:rsidRPr="00FA03D7">
        <w:rPr>
          <w:rFonts w:ascii="Verdana" w:hAnsi="Verdana" w:cs="Arial"/>
          <w:sz w:val="24"/>
          <w:szCs w:val="24"/>
        </w:rPr>
        <w:t>.</w:t>
      </w:r>
    </w:p>
    <w:p w14:paraId="2443FBEA" w14:textId="77777777" w:rsidR="005A31C5" w:rsidRPr="00FA03D7" w:rsidRDefault="008F5D3B" w:rsidP="008F5D3B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b/>
          <w:sz w:val="24"/>
          <w:szCs w:val="24"/>
        </w:rPr>
        <w:lastRenderedPageBreak/>
        <w:t>IDACI</w:t>
      </w:r>
      <w:r w:rsidR="00001222" w:rsidRPr="00FA03D7">
        <w:rPr>
          <w:rFonts w:ascii="Verdana" w:hAnsi="Verdana" w:cs="Arial"/>
          <w:sz w:val="24"/>
          <w:szCs w:val="24"/>
        </w:rPr>
        <w:t xml:space="preserve"> </w:t>
      </w:r>
      <w:r w:rsidRPr="00FA03D7">
        <w:rPr>
          <w:rFonts w:ascii="Verdana" w:hAnsi="Verdana" w:cs="Arial"/>
          <w:sz w:val="24"/>
          <w:szCs w:val="24"/>
        </w:rPr>
        <w:t xml:space="preserve">is an indicator of deprivation which uses location (postcode) as the basis of assessing a </w:t>
      </w:r>
      <w:proofErr w:type="gramStart"/>
      <w:r w:rsidRPr="00FA03D7">
        <w:rPr>
          <w:rFonts w:ascii="Verdana" w:hAnsi="Verdana" w:cs="Arial"/>
          <w:sz w:val="24"/>
          <w:szCs w:val="24"/>
        </w:rPr>
        <w:t>pupils</w:t>
      </w:r>
      <w:proofErr w:type="gramEnd"/>
      <w:r w:rsidRPr="00FA03D7">
        <w:rPr>
          <w:rFonts w:ascii="Verdana" w:hAnsi="Verdana" w:cs="Arial"/>
          <w:sz w:val="24"/>
          <w:szCs w:val="24"/>
        </w:rPr>
        <w:t xml:space="preserve"> level of deprivation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5F241473" w14:textId="77777777" w:rsidR="005A31C5" w:rsidRPr="00FA03D7" w:rsidRDefault="005A31C5" w:rsidP="005A31C5">
      <w:pPr>
        <w:pStyle w:val="ListParagraph"/>
        <w:numPr>
          <w:ilvl w:val="2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The Income Deprivation Affecting C</w:t>
      </w:r>
      <w:r w:rsidR="008F5D3B" w:rsidRPr="00FA03D7">
        <w:rPr>
          <w:rFonts w:ascii="Verdana" w:hAnsi="Verdana" w:cs="Arial"/>
          <w:sz w:val="24"/>
          <w:szCs w:val="24"/>
        </w:rPr>
        <w:t xml:space="preserve">hildren Index (IDACI) dataset is updated every five years by </w:t>
      </w:r>
      <w:r w:rsidRPr="00FA03D7">
        <w:rPr>
          <w:rFonts w:ascii="Verdana" w:hAnsi="Verdana" w:cs="Arial"/>
          <w:sz w:val="24"/>
          <w:szCs w:val="24"/>
        </w:rPr>
        <w:t>the Department of Communities and Local Government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063174D2" w14:textId="77777777" w:rsidR="00BE2DC1" w:rsidRPr="00FA03D7" w:rsidRDefault="008F5D3B" w:rsidP="005A31C5">
      <w:pPr>
        <w:pStyle w:val="ListParagraph"/>
        <w:numPr>
          <w:ilvl w:val="2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In 2016-17 budget setting for local authorities using IDACI was turbulent and less than expected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="00001222" w:rsidRPr="00FA03D7">
        <w:rPr>
          <w:rFonts w:ascii="Verdana" w:hAnsi="Verdana" w:cs="Arial"/>
          <w:sz w:val="24"/>
          <w:szCs w:val="24"/>
        </w:rPr>
        <w:t xml:space="preserve">The </w:t>
      </w:r>
      <w:r w:rsidRPr="00FA03D7">
        <w:rPr>
          <w:rFonts w:ascii="Verdana" w:hAnsi="Verdana" w:cs="Arial"/>
          <w:sz w:val="24"/>
          <w:szCs w:val="24"/>
        </w:rPr>
        <w:t xml:space="preserve">IDACI factor in the </w:t>
      </w:r>
      <w:r w:rsidR="00570599" w:rsidRPr="00FA03D7">
        <w:rPr>
          <w:rFonts w:ascii="Verdana" w:hAnsi="Verdana" w:cs="Arial"/>
          <w:sz w:val="24"/>
          <w:szCs w:val="24"/>
        </w:rPr>
        <w:t>Schools Block</w:t>
      </w:r>
      <w:r w:rsidRPr="00FA03D7">
        <w:rPr>
          <w:rFonts w:ascii="Verdana" w:hAnsi="Verdana" w:cs="Arial"/>
          <w:sz w:val="24"/>
          <w:szCs w:val="24"/>
        </w:rPr>
        <w:t xml:space="preserve"> data has been updated to adjust the scores included in each band to give a more even distribution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325B4520" w14:textId="77777777" w:rsidR="00BE2DC1" w:rsidRPr="00FA03D7" w:rsidRDefault="008F5D3B" w:rsidP="0019728C">
      <w:pPr>
        <w:pStyle w:val="ListParagraph"/>
        <w:numPr>
          <w:ilvl w:val="2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The bands are now labelled A through to G, with A having the highest proportion of deprivation and G the lowest (compared to bands 6 through to 0 in 2016 to 2017)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="00BE2DC1" w:rsidRPr="00FA03D7">
        <w:rPr>
          <w:rFonts w:ascii="Verdana" w:hAnsi="Verdana" w:cs="Arial"/>
          <w:sz w:val="24"/>
          <w:szCs w:val="24"/>
        </w:rPr>
        <w:t>T</w:t>
      </w:r>
      <w:r w:rsidRPr="00FA03D7">
        <w:rPr>
          <w:rFonts w:ascii="Verdana" w:hAnsi="Verdana" w:cs="Arial"/>
          <w:sz w:val="24"/>
          <w:szCs w:val="24"/>
        </w:rPr>
        <w:t>his has led to significant increases in the</w:t>
      </w:r>
      <w:r w:rsidR="004C1C21" w:rsidRPr="00FA03D7">
        <w:rPr>
          <w:rFonts w:ascii="Verdana" w:hAnsi="Verdana" w:cs="Arial"/>
          <w:sz w:val="24"/>
          <w:szCs w:val="24"/>
        </w:rPr>
        <w:t xml:space="preserve"> two</w:t>
      </w:r>
      <w:r w:rsidRPr="00FA03D7">
        <w:rPr>
          <w:rFonts w:ascii="Verdana" w:hAnsi="Verdana" w:cs="Arial"/>
          <w:sz w:val="24"/>
          <w:szCs w:val="24"/>
        </w:rPr>
        <w:t xml:space="preserve"> most deprived bands </w:t>
      </w:r>
      <w:r w:rsidR="004C1C21" w:rsidRPr="00FA03D7">
        <w:rPr>
          <w:rFonts w:ascii="Verdana" w:hAnsi="Verdana" w:cs="Arial"/>
          <w:sz w:val="24"/>
          <w:szCs w:val="24"/>
        </w:rPr>
        <w:t xml:space="preserve">(F &amp;G) </w:t>
      </w:r>
      <w:r w:rsidRPr="00FA03D7">
        <w:rPr>
          <w:rFonts w:ascii="Verdana" w:hAnsi="Verdana" w:cs="Arial"/>
          <w:sz w:val="24"/>
          <w:szCs w:val="24"/>
        </w:rPr>
        <w:t xml:space="preserve">and </w:t>
      </w:r>
      <w:r w:rsidR="004C1C21" w:rsidRPr="00FA03D7">
        <w:rPr>
          <w:rFonts w:ascii="Verdana" w:hAnsi="Verdana" w:cs="Arial"/>
          <w:sz w:val="24"/>
          <w:szCs w:val="24"/>
        </w:rPr>
        <w:t xml:space="preserve">reduction in </w:t>
      </w:r>
      <w:r w:rsidRPr="00FA03D7">
        <w:rPr>
          <w:rFonts w:ascii="Verdana" w:hAnsi="Verdana" w:cs="Arial"/>
          <w:sz w:val="24"/>
          <w:szCs w:val="24"/>
        </w:rPr>
        <w:t>the third lowest band</w:t>
      </w:r>
      <w:r w:rsidR="004C1C21" w:rsidRPr="00FA03D7">
        <w:rPr>
          <w:rFonts w:ascii="Verdana" w:hAnsi="Verdana" w:cs="Arial"/>
          <w:sz w:val="24"/>
          <w:szCs w:val="24"/>
        </w:rPr>
        <w:t xml:space="preserve"> (E)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7277B63D" w14:textId="77777777" w:rsidR="008F5D3B" w:rsidRPr="00FA03D7" w:rsidRDefault="008F5D3B" w:rsidP="005A31C5">
      <w:pPr>
        <w:pStyle w:val="ListParagraph"/>
        <w:numPr>
          <w:ilvl w:val="2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 xml:space="preserve">The APT tool for </w:t>
      </w:r>
      <w:r w:rsidR="00BE2DC1" w:rsidRPr="00FA03D7">
        <w:rPr>
          <w:rFonts w:ascii="Verdana" w:hAnsi="Verdana" w:cs="Arial"/>
          <w:sz w:val="24"/>
          <w:szCs w:val="24"/>
        </w:rPr>
        <w:t>p</w:t>
      </w:r>
      <w:r w:rsidRPr="00FA03D7">
        <w:rPr>
          <w:rFonts w:ascii="Verdana" w:hAnsi="Verdana" w:cs="Arial"/>
          <w:sz w:val="24"/>
          <w:szCs w:val="24"/>
        </w:rPr>
        <w:t>rimar</w:t>
      </w:r>
      <w:r w:rsidR="00BE2DC1" w:rsidRPr="00FA03D7">
        <w:rPr>
          <w:rFonts w:ascii="Verdana" w:hAnsi="Verdana" w:cs="Arial"/>
          <w:sz w:val="24"/>
          <w:szCs w:val="24"/>
        </w:rPr>
        <w:t>y s</w:t>
      </w:r>
      <w:r w:rsidRPr="00FA03D7">
        <w:rPr>
          <w:rFonts w:ascii="Verdana" w:hAnsi="Verdana" w:cs="Arial"/>
          <w:sz w:val="24"/>
          <w:szCs w:val="24"/>
        </w:rPr>
        <w:t xml:space="preserve">chools in Westminster </w:t>
      </w:r>
      <w:r w:rsidR="00BE2DC1" w:rsidRPr="00FA03D7">
        <w:rPr>
          <w:rFonts w:ascii="Verdana" w:hAnsi="Verdana" w:cs="Arial"/>
          <w:sz w:val="24"/>
          <w:szCs w:val="24"/>
        </w:rPr>
        <w:t xml:space="preserve">City Council </w:t>
      </w:r>
      <w:r w:rsidRPr="00FA03D7">
        <w:rPr>
          <w:rFonts w:ascii="Verdana" w:hAnsi="Verdana" w:cs="Arial"/>
          <w:sz w:val="24"/>
          <w:szCs w:val="24"/>
        </w:rPr>
        <w:t>doe</w:t>
      </w:r>
      <w:r w:rsidR="00BE2DC1" w:rsidRPr="00FA03D7">
        <w:rPr>
          <w:rFonts w:ascii="Verdana" w:hAnsi="Verdana" w:cs="Arial"/>
          <w:sz w:val="24"/>
          <w:szCs w:val="24"/>
        </w:rPr>
        <w:t>s not apply IDACI factors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="00BE2DC1" w:rsidRPr="00FA03D7">
        <w:rPr>
          <w:rFonts w:ascii="Verdana" w:hAnsi="Verdana" w:cs="Arial"/>
          <w:sz w:val="24"/>
          <w:szCs w:val="24"/>
        </w:rPr>
        <w:t>The s</w:t>
      </w:r>
      <w:r w:rsidRPr="00FA03D7">
        <w:rPr>
          <w:rFonts w:ascii="Verdana" w:hAnsi="Verdana" w:cs="Arial"/>
          <w:sz w:val="24"/>
          <w:szCs w:val="24"/>
        </w:rPr>
        <w:t>econdary IDACI factor has seen an increase.</w:t>
      </w:r>
    </w:p>
    <w:p w14:paraId="7597254A" w14:textId="77777777" w:rsidR="008F5D3B" w:rsidRPr="00FA03D7" w:rsidRDefault="008F5D3B" w:rsidP="008F5D3B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b/>
          <w:sz w:val="24"/>
          <w:szCs w:val="24"/>
        </w:rPr>
        <w:t xml:space="preserve">Low attainment </w:t>
      </w:r>
      <w:r w:rsidRPr="00FA03D7">
        <w:rPr>
          <w:rFonts w:ascii="Verdana" w:hAnsi="Verdana" w:cs="Arial"/>
          <w:sz w:val="24"/>
          <w:szCs w:val="24"/>
        </w:rPr>
        <w:t xml:space="preserve">factor has decreased by </w:t>
      </w:r>
      <w:r w:rsidR="00250FE0" w:rsidRPr="00FA03D7">
        <w:rPr>
          <w:rFonts w:ascii="Verdana" w:hAnsi="Verdana" w:cs="Arial"/>
          <w:sz w:val="24"/>
          <w:szCs w:val="24"/>
        </w:rPr>
        <w:t>238 for primary and 46 for secondary</w:t>
      </w:r>
      <w:r w:rsidRPr="00FA03D7">
        <w:rPr>
          <w:rFonts w:ascii="Verdana" w:hAnsi="Verdana" w:cs="Arial"/>
          <w:sz w:val="24"/>
          <w:szCs w:val="24"/>
        </w:rPr>
        <w:t xml:space="preserve"> schools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="00250FE0" w:rsidRPr="00FA03D7">
        <w:rPr>
          <w:rFonts w:ascii="Verdana" w:hAnsi="Verdana" w:cs="Arial"/>
          <w:sz w:val="24"/>
          <w:szCs w:val="24"/>
        </w:rPr>
        <w:t>The m</w:t>
      </w:r>
      <w:r w:rsidRPr="00FA03D7">
        <w:rPr>
          <w:rFonts w:ascii="Verdana" w:hAnsi="Verdana" w:cs="Arial"/>
          <w:sz w:val="24"/>
          <w:szCs w:val="24"/>
        </w:rPr>
        <w:t xml:space="preserve">ajor reduction </w:t>
      </w:r>
      <w:r w:rsidR="00C77740" w:rsidRPr="00FA03D7">
        <w:rPr>
          <w:rFonts w:ascii="Verdana" w:hAnsi="Verdana" w:cs="Arial"/>
          <w:sz w:val="24"/>
          <w:szCs w:val="24"/>
        </w:rPr>
        <w:t>was identified</w:t>
      </w:r>
      <w:r w:rsidRPr="00FA03D7">
        <w:rPr>
          <w:rFonts w:ascii="Verdana" w:hAnsi="Verdana" w:cs="Arial"/>
          <w:sz w:val="24"/>
          <w:szCs w:val="24"/>
        </w:rPr>
        <w:t xml:space="preserve"> </w:t>
      </w:r>
      <w:r w:rsidR="00C77740" w:rsidRPr="00FA03D7">
        <w:rPr>
          <w:rFonts w:ascii="Verdana" w:hAnsi="Verdana" w:cs="Arial"/>
          <w:sz w:val="24"/>
          <w:szCs w:val="24"/>
        </w:rPr>
        <w:t xml:space="preserve">at </w:t>
      </w:r>
      <w:r w:rsidRPr="00FA03D7">
        <w:rPr>
          <w:rFonts w:ascii="Verdana" w:hAnsi="Verdana" w:cs="Arial"/>
          <w:sz w:val="24"/>
          <w:szCs w:val="24"/>
        </w:rPr>
        <w:t xml:space="preserve">Paddington </w:t>
      </w:r>
      <w:r w:rsidR="009357FA" w:rsidRPr="00FA03D7">
        <w:rPr>
          <w:rFonts w:ascii="Verdana" w:hAnsi="Verdana" w:cs="Arial"/>
          <w:sz w:val="24"/>
          <w:szCs w:val="24"/>
        </w:rPr>
        <w:t>Academy at</w:t>
      </w:r>
      <w:r w:rsidRPr="00FA03D7">
        <w:rPr>
          <w:rFonts w:ascii="Verdana" w:hAnsi="Verdana" w:cs="Arial"/>
          <w:sz w:val="24"/>
          <w:szCs w:val="24"/>
        </w:rPr>
        <w:t xml:space="preserve"> 45</w:t>
      </w:r>
      <w:r w:rsidR="00BE0909" w:rsidRPr="00FA03D7">
        <w:rPr>
          <w:rFonts w:ascii="Verdana" w:hAnsi="Verdana" w:cs="Arial"/>
          <w:sz w:val="24"/>
          <w:szCs w:val="24"/>
        </w:rPr>
        <w:t>,</w:t>
      </w:r>
      <w:r w:rsidRPr="00FA03D7">
        <w:rPr>
          <w:rFonts w:ascii="Verdana" w:hAnsi="Verdana" w:cs="Arial"/>
          <w:sz w:val="24"/>
          <w:szCs w:val="24"/>
        </w:rPr>
        <w:t xml:space="preserve"> with increases at Marylebone Boys’ and St Marylebone School at 20 and 13</w:t>
      </w:r>
      <w:r w:rsidR="00BC640A" w:rsidRPr="00FA03D7">
        <w:rPr>
          <w:rFonts w:ascii="Verdana" w:hAnsi="Verdana" w:cs="Arial"/>
          <w:sz w:val="24"/>
          <w:szCs w:val="24"/>
        </w:rPr>
        <w:t xml:space="preserve"> respectively</w:t>
      </w:r>
      <w:r w:rsidRPr="00FA03D7">
        <w:rPr>
          <w:rFonts w:ascii="Verdana" w:hAnsi="Verdana" w:cs="Arial"/>
          <w:sz w:val="24"/>
          <w:szCs w:val="24"/>
        </w:rPr>
        <w:t>.</w:t>
      </w:r>
    </w:p>
    <w:p w14:paraId="427E6DB6" w14:textId="77777777" w:rsidR="008F5D3B" w:rsidRPr="00FA03D7" w:rsidRDefault="002B1959" w:rsidP="009C0635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FA03D7">
        <w:rPr>
          <w:rFonts w:ascii="Verdana" w:hAnsi="Verdana" w:cs="Arial"/>
          <w:b/>
          <w:color w:val="000000" w:themeColor="text1"/>
          <w:sz w:val="24"/>
          <w:szCs w:val="24"/>
        </w:rPr>
        <w:t>Pupil m</w:t>
      </w:r>
      <w:r w:rsidR="008F5D3B" w:rsidRPr="00FA03D7">
        <w:rPr>
          <w:rFonts w:ascii="Verdana" w:hAnsi="Verdana" w:cs="Arial"/>
          <w:b/>
          <w:color w:val="000000" w:themeColor="text1"/>
          <w:sz w:val="24"/>
          <w:szCs w:val="24"/>
        </w:rPr>
        <w:t>obility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 has also reduced </w:t>
      </w:r>
      <w:r w:rsidR="006254F0" w:rsidRPr="00FA03D7">
        <w:rPr>
          <w:rFonts w:ascii="Verdana" w:hAnsi="Verdana" w:cs="Arial"/>
          <w:color w:val="000000" w:themeColor="text1"/>
          <w:sz w:val="24"/>
          <w:szCs w:val="24"/>
        </w:rPr>
        <w:t xml:space="preserve">overall </w:t>
      </w:r>
      <w:r w:rsidR="008F5D3B" w:rsidRPr="00FA03D7">
        <w:rPr>
          <w:rFonts w:ascii="Verdana" w:hAnsi="Verdana" w:cs="Arial"/>
          <w:color w:val="000000" w:themeColor="text1"/>
          <w:sz w:val="24"/>
          <w:szCs w:val="24"/>
        </w:rPr>
        <w:t>from 267 to 243</w:t>
      </w:r>
      <w:r w:rsidR="00570599" w:rsidRPr="00FA03D7">
        <w:rPr>
          <w:rFonts w:ascii="Verdana" w:hAnsi="Verdana" w:cs="Arial"/>
          <w:color w:val="000000" w:themeColor="text1"/>
          <w:sz w:val="24"/>
          <w:szCs w:val="24"/>
        </w:rPr>
        <w:t xml:space="preserve">.  </w:t>
      </w:r>
      <w:r w:rsidR="008F5D3B" w:rsidRPr="00FA03D7">
        <w:rPr>
          <w:rFonts w:ascii="Verdana" w:hAnsi="Verdana" w:cs="Arial"/>
          <w:color w:val="000000" w:themeColor="text1"/>
          <w:sz w:val="24"/>
          <w:szCs w:val="24"/>
        </w:rPr>
        <w:t>The major reduction being at Churchill Gardens with 28</w:t>
      </w:r>
      <w:r w:rsidR="00570599" w:rsidRPr="00FA03D7">
        <w:rPr>
          <w:rFonts w:ascii="Verdana" w:hAnsi="Verdana" w:cs="Arial"/>
          <w:color w:val="000000" w:themeColor="text1"/>
          <w:sz w:val="24"/>
          <w:szCs w:val="24"/>
        </w:rPr>
        <w:t xml:space="preserve">.  </w:t>
      </w:r>
      <w:r w:rsidR="009C0635" w:rsidRPr="00FA03D7">
        <w:rPr>
          <w:rFonts w:ascii="Verdana" w:hAnsi="Verdana" w:cs="Arial"/>
          <w:color w:val="000000" w:themeColor="text1"/>
          <w:sz w:val="24"/>
          <w:szCs w:val="24"/>
        </w:rPr>
        <w:t>This is due to the total movement in and out of schools by pupils other than at the usual times of joining and leaving.</w:t>
      </w:r>
    </w:p>
    <w:p w14:paraId="0743B344" w14:textId="77777777" w:rsidR="00792FDF" w:rsidRPr="00FA03D7" w:rsidRDefault="00792FDF" w:rsidP="00792FDF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</w:p>
    <w:p w14:paraId="4B40EA81" w14:textId="77777777" w:rsidR="008A2791" w:rsidRPr="00FA03D7" w:rsidRDefault="008A2791" w:rsidP="004D267D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sectPr w:rsidR="008A2791" w:rsidRPr="00FA03D7" w:rsidSect="003219F5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71368D" w14:textId="77777777" w:rsidR="001A406E" w:rsidRPr="009E1791" w:rsidRDefault="002D05AB" w:rsidP="004D267D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</w:pPr>
      <w:r w:rsidRPr="009E1791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lastRenderedPageBreak/>
        <w:t>Table 3</w:t>
      </w:r>
      <w:r w:rsidR="00792FDF" w:rsidRPr="009E1791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>:</w:t>
      </w:r>
      <w:r w:rsidR="00C15BA2" w:rsidRPr="009E1791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GB"/>
        </w:rPr>
        <w:t xml:space="preserve"> October 2016 Data sets from APT Table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071"/>
        <w:gridCol w:w="1071"/>
        <w:gridCol w:w="1359"/>
        <w:gridCol w:w="298"/>
        <w:gridCol w:w="1071"/>
        <w:gridCol w:w="1071"/>
        <w:gridCol w:w="1359"/>
        <w:gridCol w:w="298"/>
        <w:gridCol w:w="1071"/>
        <w:gridCol w:w="1071"/>
        <w:gridCol w:w="1353"/>
      </w:tblGrid>
      <w:tr w:rsidR="00D9460B" w:rsidRPr="00653D10" w14:paraId="0207682D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564670F9" w14:textId="77777777" w:rsidR="00D9460B" w:rsidRPr="00653D10" w:rsidRDefault="00D946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1254" w:type="pct"/>
            <w:gridSpan w:val="3"/>
            <w:shd w:val="clear" w:color="auto" w:fill="BFBFBF" w:themeFill="background1" w:themeFillShade="BF"/>
            <w:noWrap/>
            <w:vAlign w:val="bottom"/>
            <w:hideMark/>
          </w:tcPr>
          <w:p w14:paraId="6768F1AC" w14:textId="77777777" w:rsidR="00D9460B" w:rsidRPr="00653D10" w:rsidRDefault="00D9460B" w:rsidP="00D946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Primary</w:t>
            </w:r>
          </w:p>
        </w:tc>
        <w:tc>
          <w:tcPr>
            <w:tcW w:w="107" w:type="pct"/>
            <w:shd w:val="clear" w:color="auto" w:fill="BFBFBF" w:themeFill="background1" w:themeFillShade="BF"/>
            <w:noWrap/>
            <w:vAlign w:val="bottom"/>
            <w:hideMark/>
          </w:tcPr>
          <w:p w14:paraId="400C3EEF" w14:textId="77777777" w:rsidR="00D9460B" w:rsidRPr="00653D10" w:rsidRDefault="00D9460B" w:rsidP="00D946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4" w:type="pct"/>
            <w:gridSpan w:val="3"/>
            <w:shd w:val="clear" w:color="auto" w:fill="BFBFBF" w:themeFill="background1" w:themeFillShade="BF"/>
            <w:noWrap/>
            <w:vAlign w:val="bottom"/>
            <w:hideMark/>
          </w:tcPr>
          <w:p w14:paraId="30D71C6F" w14:textId="77777777" w:rsidR="00D9460B" w:rsidRPr="00653D10" w:rsidRDefault="00D9460B" w:rsidP="00D946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107" w:type="pct"/>
            <w:shd w:val="clear" w:color="auto" w:fill="BFBFBF" w:themeFill="background1" w:themeFillShade="BF"/>
            <w:noWrap/>
            <w:vAlign w:val="bottom"/>
            <w:hideMark/>
          </w:tcPr>
          <w:p w14:paraId="476A9E59" w14:textId="77777777" w:rsidR="00D9460B" w:rsidRPr="00653D10" w:rsidRDefault="00D9460B" w:rsidP="00D946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4" w:type="pct"/>
            <w:gridSpan w:val="3"/>
            <w:shd w:val="clear" w:color="auto" w:fill="BFBFBF" w:themeFill="background1" w:themeFillShade="BF"/>
            <w:noWrap/>
            <w:vAlign w:val="bottom"/>
            <w:hideMark/>
          </w:tcPr>
          <w:p w14:paraId="604995DF" w14:textId="77777777" w:rsidR="00D9460B" w:rsidRPr="00653D10" w:rsidRDefault="00D9460B" w:rsidP="00D946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D9460B" w:rsidRPr="00653D10" w14:paraId="14983262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713449DB" w14:textId="77777777" w:rsidR="00D9460B" w:rsidRPr="00653D10" w:rsidRDefault="00D9460B" w:rsidP="00D946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  <w:noWrap/>
            <w:vAlign w:val="bottom"/>
            <w:hideMark/>
          </w:tcPr>
          <w:p w14:paraId="7E0249A6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384" w:type="pct"/>
            <w:shd w:val="clear" w:color="auto" w:fill="BFBFBF" w:themeFill="background1" w:themeFillShade="BF"/>
            <w:noWrap/>
            <w:vAlign w:val="bottom"/>
            <w:hideMark/>
          </w:tcPr>
          <w:p w14:paraId="38D05639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487" w:type="pct"/>
            <w:shd w:val="clear" w:color="auto" w:fill="BFBFBF" w:themeFill="background1" w:themeFillShade="BF"/>
            <w:noWrap/>
            <w:vAlign w:val="bottom"/>
            <w:hideMark/>
          </w:tcPr>
          <w:p w14:paraId="2B88985B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Movement</w:t>
            </w:r>
          </w:p>
        </w:tc>
        <w:tc>
          <w:tcPr>
            <w:tcW w:w="107" w:type="pct"/>
            <w:shd w:val="clear" w:color="auto" w:fill="BFBFBF" w:themeFill="background1" w:themeFillShade="BF"/>
            <w:noWrap/>
            <w:vAlign w:val="bottom"/>
            <w:hideMark/>
          </w:tcPr>
          <w:p w14:paraId="3249B81F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  <w:noWrap/>
            <w:vAlign w:val="bottom"/>
            <w:hideMark/>
          </w:tcPr>
          <w:p w14:paraId="512947AA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384" w:type="pct"/>
            <w:shd w:val="clear" w:color="auto" w:fill="BFBFBF" w:themeFill="background1" w:themeFillShade="BF"/>
            <w:noWrap/>
            <w:vAlign w:val="bottom"/>
            <w:hideMark/>
          </w:tcPr>
          <w:p w14:paraId="37AF2CC2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487" w:type="pct"/>
            <w:shd w:val="clear" w:color="auto" w:fill="BFBFBF" w:themeFill="background1" w:themeFillShade="BF"/>
            <w:noWrap/>
            <w:vAlign w:val="bottom"/>
            <w:hideMark/>
          </w:tcPr>
          <w:p w14:paraId="5654ECCF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Movement</w:t>
            </w:r>
          </w:p>
        </w:tc>
        <w:tc>
          <w:tcPr>
            <w:tcW w:w="107" w:type="pct"/>
            <w:shd w:val="clear" w:color="auto" w:fill="BFBFBF" w:themeFill="background1" w:themeFillShade="BF"/>
            <w:noWrap/>
            <w:vAlign w:val="bottom"/>
            <w:hideMark/>
          </w:tcPr>
          <w:p w14:paraId="130DB557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  <w:noWrap/>
            <w:vAlign w:val="bottom"/>
            <w:hideMark/>
          </w:tcPr>
          <w:p w14:paraId="0FF292EA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384" w:type="pct"/>
            <w:shd w:val="clear" w:color="auto" w:fill="BFBFBF" w:themeFill="background1" w:themeFillShade="BF"/>
            <w:noWrap/>
            <w:vAlign w:val="bottom"/>
            <w:hideMark/>
          </w:tcPr>
          <w:p w14:paraId="67FAD959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487" w:type="pct"/>
            <w:shd w:val="clear" w:color="auto" w:fill="BFBFBF" w:themeFill="background1" w:themeFillShade="BF"/>
            <w:noWrap/>
            <w:vAlign w:val="bottom"/>
            <w:hideMark/>
          </w:tcPr>
          <w:p w14:paraId="1D7109F8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Movement</w:t>
            </w:r>
          </w:p>
        </w:tc>
      </w:tr>
      <w:tr w:rsidR="00D9460B" w:rsidRPr="00653D10" w14:paraId="1712E652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2DD1916D" w14:textId="77777777" w:rsidR="00D9460B" w:rsidRPr="00653D10" w:rsidRDefault="009E4F5C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Primary (Years R-0</w:t>
            </w:r>
            <w:r w:rsidR="00D9460B"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6)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BC4C26F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10710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664133D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10419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842C8C0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-291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651C536D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AB96919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6019829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6371997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0ADD6E48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BDC6B03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10710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2024E66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10419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D865FB8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-291</w:t>
            </w:r>
          </w:p>
        </w:tc>
      </w:tr>
      <w:tr w:rsidR="00D9460B" w:rsidRPr="00653D10" w14:paraId="1EA7C0E7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4B1AA56A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Key Stage 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848B43D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837751A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2946AB3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12CDF912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2D8E92F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5096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67658AF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5182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5351CA7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3198EC70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2B36040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5096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6804FBE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5182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37FF35B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86</w:t>
            </w:r>
          </w:p>
        </w:tc>
      </w:tr>
      <w:tr w:rsidR="00D9460B" w:rsidRPr="00653D10" w14:paraId="22A5C2C6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24A02567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Key Stage 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EC79ED6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B2536FB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DBB20B7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2EE2C4AE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CA00387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3137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1B4345A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3077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9492028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-60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356398F7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8F00DED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3137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C5320E7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3077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C2215A8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-60</w:t>
            </w:r>
          </w:p>
        </w:tc>
      </w:tr>
      <w:tr w:rsidR="00D9460B" w:rsidRPr="00653D10" w14:paraId="64FE8242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4C2DD941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Number on Roll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5F47CB7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10710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F6133BF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10419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F0B1A3A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-291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57F9F5DD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B5A1479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8233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9D04318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8259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5AAC118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02BE733D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F57A381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18943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0287C7C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18678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C3C6BBF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-265</w:t>
            </w:r>
          </w:p>
        </w:tc>
      </w:tr>
      <w:tr w:rsidR="00D9460B" w:rsidRPr="00653D10" w14:paraId="0B4D978A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12D81232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Reception Difference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63EB114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E1C067D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431A20F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7F22D936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6F3DC8F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461422E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234854D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53EAA35A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B899F5D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9B3B3AA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E00446C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D9460B" w:rsidRPr="00653D10" w14:paraId="1B47A5FD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3ABB345E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AD4CC92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0B8CF63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CF8D458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10F70379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F4CE1B7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37C227D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C43FCBC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5743A4B8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912FA63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81C961C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BB78A77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D9460B" w:rsidRPr="00653D10" w14:paraId="49271E48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26B79B93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Primary FSM6 Units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CD826DF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4998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B583C5D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4590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3107F4C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-409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6AF05355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0B9E415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66FCB61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9DA023B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1B9481E7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B48470C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4998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EDA5FD2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4509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A9AA133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-409</w:t>
            </w:r>
          </w:p>
        </w:tc>
      </w:tr>
      <w:tr w:rsidR="00D9460B" w:rsidRPr="00653D10" w14:paraId="1E8EB290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7CC19A8D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Secondary FSM6 Units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A5310BB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FB59300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3D54244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275BE752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BC60C9C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4705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7DE6BA7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4533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AD4BB3D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-172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0E1FD746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692502C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4705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61AAD94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4533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88201E0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-172</w:t>
            </w:r>
          </w:p>
        </w:tc>
      </w:tr>
      <w:tr w:rsidR="00D9460B" w:rsidRPr="00653D10" w14:paraId="5AB898E8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6364FD07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IDACI Units Band 4/C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44BD0A8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B909213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440C2F6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53842BF6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09758FB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2537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93D5C25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1208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204AB71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-1329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6831EA23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DF0239E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2537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0935B9C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1208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02E4924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-1329</w:t>
            </w:r>
          </w:p>
        </w:tc>
      </w:tr>
      <w:tr w:rsidR="00D9460B" w:rsidRPr="00653D10" w14:paraId="06BFE44C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76CEEA46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IDACI Units Band 5/B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AFE7224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E6DD2E1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63FC8B3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78032F06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D2FFBA2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4D53278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2531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1FDFD69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1812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27EF7A7D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93AE2FB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3227B4B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2531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CE0CA5B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1812</w:t>
            </w:r>
          </w:p>
        </w:tc>
      </w:tr>
      <w:tr w:rsidR="00D9460B" w:rsidRPr="00653D10" w14:paraId="1EC208DB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0AA5E5FE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IDACI Units Band 6/A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9750576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95F3E95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5F0B53F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4E65E091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564FABC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DF3D2E3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DEE5171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0AB72303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EC6DE17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E42F472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9A875F6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705</w:t>
            </w:r>
          </w:p>
        </w:tc>
      </w:tr>
      <w:tr w:rsidR="00D9460B" w:rsidRPr="00653D10" w14:paraId="07F02BC3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14DA6CAA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EAL3 Units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A876497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4116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72ABC7C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3969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D8DD3C4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-147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6501BD33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EC433CF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8043D5B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5B28587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-80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5CB97218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15AEBD8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4649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816913E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4422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4CEADDA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-226</w:t>
            </w:r>
          </w:p>
        </w:tc>
      </w:tr>
      <w:tr w:rsidR="00D9460B" w:rsidRPr="00653D10" w14:paraId="69D60ABF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23CB87B9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LAC X Units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2227A4E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FBAE1B9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F723274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2B06411E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9FCDF7C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5166BBD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8302DBE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5B57A412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C3E1C68" w14:textId="40DDC9B8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5D4A1C5" w14:textId="4AFD004E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94EA9D4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9460B" w:rsidRPr="00653D10" w14:paraId="376512ED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53672E55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Low Attainment Primary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86950C4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3712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B4C3988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3474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647F76F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-238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41EC6625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51766FF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DD6F80A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AF66257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29275AC1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5D16BF6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3712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E27B202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3474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3E4B0F2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-238</w:t>
            </w:r>
          </w:p>
        </w:tc>
      </w:tr>
      <w:tr w:rsidR="00D9460B" w:rsidRPr="00653D10" w14:paraId="5E7F0C20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3B93CDDD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 xml:space="preserve">Low </w:t>
            </w:r>
            <w:r w:rsidR="00FE28EE"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 xml:space="preserve">Attainment </w:t>
            </w: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04D60DE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389E65D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C573CB9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39C1753A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DBAFAD3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1485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93558CE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1438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E9C9CBF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-46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493610EC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A33F6CA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1485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68F810A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1438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A565EC8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-46</w:t>
            </w:r>
          </w:p>
        </w:tc>
      </w:tr>
      <w:tr w:rsidR="00D9460B" w:rsidRPr="00653D10" w14:paraId="224B0F7C" w14:textId="77777777" w:rsidTr="00D538AF">
        <w:trPr>
          <w:trHeight w:val="300"/>
        </w:trPr>
        <w:tc>
          <w:tcPr>
            <w:tcW w:w="1023" w:type="pct"/>
            <w:shd w:val="clear" w:color="auto" w:fill="BFBFBF" w:themeFill="background1" w:themeFillShade="BF"/>
            <w:noWrap/>
            <w:vAlign w:val="bottom"/>
            <w:hideMark/>
          </w:tcPr>
          <w:p w14:paraId="4B011000" w14:textId="77777777" w:rsidR="00D9460B" w:rsidRPr="00653D10" w:rsidRDefault="00D9460B" w:rsidP="00D946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n-GB"/>
              </w:rPr>
              <w:t>Mobility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2CFAAD1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3D8CD18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F410243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-44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5C00AE83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133C031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960E128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4AA8EB3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7" w:type="pct"/>
            <w:shd w:val="clear" w:color="auto" w:fill="auto"/>
            <w:noWrap/>
            <w:vAlign w:val="bottom"/>
            <w:hideMark/>
          </w:tcPr>
          <w:p w14:paraId="4E315AB1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6712745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DFC5C48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56D044E" w14:textId="77777777" w:rsidR="00D9460B" w:rsidRPr="00653D10" w:rsidRDefault="00D9460B" w:rsidP="00D9460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653D1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-44</w:t>
            </w:r>
          </w:p>
        </w:tc>
      </w:tr>
    </w:tbl>
    <w:p w14:paraId="349DD825" w14:textId="77777777" w:rsidR="00A9460C" w:rsidRPr="00E92D07" w:rsidRDefault="00A9460C" w:rsidP="005646CB">
      <w:pPr>
        <w:tabs>
          <w:tab w:val="left" w:pos="709"/>
        </w:tabs>
        <w:ind w:left="709" w:hanging="349"/>
        <w:jc w:val="both"/>
        <w:rPr>
          <w:rFonts w:asciiTheme="majorHAnsi" w:hAnsiTheme="majorHAnsi" w:cstheme="majorHAnsi"/>
          <w:sz w:val="24"/>
          <w:szCs w:val="24"/>
        </w:rPr>
      </w:pPr>
    </w:p>
    <w:p w14:paraId="2679E3F3" w14:textId="77777777" w:rsidR="00950BDC" w:rsidRDefault="00950BDC" w:rsidP="005646CB">
      <w:pPr>
        <w:tabs>
          <w:tab w:val="left" w:pos="709"/>
        </w:tabs>
        <w:ind w:left="709" w:hanging="349"/>
        <w:jc w:val="both"/>
        <w:rPr>
          <w:rFonts w:ascii="Verdana" w:hAnsi="Verdana" w:cs="Arial"/>
          <w:sz w:val="24"/>
          <w:szCs w:val="24"/>
        </w:rPr>
        <w:sectPr w:rsidR="00950BDC" w:rsidSect="008A279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34EB00E" w14:textId="77777777" w:rsidR="00024ADF" w:rsidRPr="009E1791" w:rsidRDefault="00024ADF" w:rsidP="002356C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9E1791">
        <w:rPr>
          <w:rFonts w:asciiTheme="majorHAnsi" w:hAnsiTheme="majorHAnsi" w:cstheme="majorHAnsi"/>
          <w:b/>
          <w:sz w:val="24"/>
          <w:szCs w:val="24"/>
        </w:rPr>
        <w:lastRenderedPageBreak/>
        <w:t>Table 4</w:t>
      </w:r>
      <w:r w:rsidR="00C15BA2" w:rsidRPr="009E1791">
        <w:rPr>
          <w:rFonts w:asciiTheme="majorHAnsi" w:hAnsiTheme="majorHAnsi" w:cstheme="majorHAnsi"/>
          <w:b/>
          <w:sz w:val="24"/>
          <w:szCs w:val="24"/>
        </w:rPr>
        <w:t>: Largest reductions in Primary Ever 6 Units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3"/>
        <w:gridCol w:w="1733"/>
      </w:tblGrid>
      <w:tr w:rsidR="00C738DE" w:rsidRPr="009E1791" w14:paraId="1222F21A" w14:textId="77777777" w:rsidTr="00B845C2">
        <w:trPr>
          <w:trHeight w:val="582"/>
        </w:trPr>
        <w:tc>
          <w:tcPr>
            <w:tcW w:w="3989" w:type="pct"/>
            <w:shd w:val="clear" w:color="000000" w:fill="C0C0C0"/>
            <w:vAlign w:val="center"/>
            <w:hideMark/>
          </w:tcPr>
          <w:p w14:paraId="6CC4CE51" w14:textId="77777777" w:rsidR="00C738DE" w:rsidRPr="009E1791" w:rsidRDefault="00C738DE" w:rsidP="00C7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b/>
                <w:sz w:val="24"/>
                <w:szCs w:val="18"/>
                <w:lang w:eastAsia="en-GB"/>
              </w:rPr>
              <w:t>School Name</w:t>
            </w:r>
          </w:p>
        </w:tc>
        <w:tc>
          <w:tcPr>
            <w:tcW w:w="1011" w:type="pct"/>
            <w:shd w:val="clear" w:color="000000" w:fill="C0C0C0"/>
            <w:vAlign w:val="center"/>
            <w:hideMark/>
          </w:tcPr>
          <w:p w14:paraId="552BF355" w14:textId="77777777" w:rsidR="00C738DE" w:rsidRPr="009E1791" w:rsidRDefault="00C738DE" w:rsidP="00C73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b/>
                <w:sz w:val="24"/>
                <w:szCs w:val="18"/>
                <w:lang w:eastAsia="en-GB"/>
              </w:rPr>
              <w:t>Primary Ever 6 Units</w:t>
            </w:r>
          </w:p>
        </w:tc>
      </w:tr>
      <w:tr w:rsidR="00C738DE" w:rsidRPr="009E1791" w14:paraId="4DD08759" w14:textId="77777777" w:rsidTr="00B845C2">
        <w:trPr>
          <w:trHeight w:val="153"/>
        </w:trPr>
        <w:tc>
          <w:tcPr>
            <w:tcW w:w="3989" w:type="pct"/>
            <w:shd w:val="clear" w:color="auto" w:fill="auto"/>
            <w:noWrap/>
            <w:vAlign w:val="bottom"/>
            <w:hideMark/>
          </w:tcPr>
          <w:p w14:paraId="61AE8A56" w14:textId="77777777" w:rsidR="00C738DE" w:rsidRPr="009E1791" w:rsidRDefault="00C738DE" w:rsidP="00C7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Minerva Academy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7FFDFC99" w14:textId="77777777" w:rsidR="00C738DE" w:rsidRPr="009E1791" w:rsidRDefault="00C738DE" w:rsidP="00C7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-60.30 </w:t>
            </w:r>
          </w:p>
        </w:tc>
      </w:tr>
      <w:tr w:rsidR="00C738DE" w:rsidRPr="009E1791" w14:paraId="5C04593A" w14:textId="77777777" w:rsidTr="00B845C2">
        <w:trPr>
          <w:trHeight w:val="153"/>
        </w:trPr>
        <w:tc>
          <w:tcPr>
            <w:tcW w:w="3989" w:type="pct"/>
            <w:shd w:val="clear" w:color="auto" w:fill="auto"/>
            <w:noWrap/>
            <w:vAlign w:val="bottom"/>
            <w:hideMark/>
          </w:tcPr>
          <w:p w14:paraId="53E52E48" w14:textId="77777777" w:rsidR="00C738DE" w:rsidRPr="009E1791" w:rsidRDefault="00C738DE" w:rsidP="00C7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proofErr w:type="spellStart"/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Hallfield</w:t>
            </w:r>
            <w:proofErr w:type="spellEnd"/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1A2D6EE7" w14:textId="77777777" w:rsidR="00C738DE" w:rsidRPr="009E1791" w:rsidRDefault="00C738DE" w:rsidP="00C7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-53.35 </w:t>
            </w:r>
          </w:p>
        </w:tc>
      </w:tr>
      <w:tr w:rsidR="00C738DE" w:rsidRPr="009E1791" w14:paraId="1F3B18D5" w14:textId="77777777" w:rsidTr="00B845C2">
        <w:trPr>
          <w:trHeight w:val="153"/>
        </w:trPr>
        <w:tc>
          <w:tcPr>
            <w:tcW w:w="3989" w:type="pct"/>
            <w:shd w:val="clear" w:color="auto" w:fill="auto"/>
            <w:noWrap/>
            <w:vAlign w:val="bottom"/>
            <w:hideMark/>
          </w:tcPr>
          <w:p w14:paraId="2DDFE096" w14:textId="77777777" w:rsidR="00C738DE" w:rsidRPr="009E1791" w:rsidRDefault="00C738DE" w:rsidP="00C7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Ark Paddington Green Primary Academy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00B79E28" w14:textId="77777777" w:rsidR="00C738DE" w:rsidRPr="009E1791" w:rsidRDefault="00C738DE" w:rsidP="00C7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-51.45 </w:t>
            </w:r>
          </w:p>
        </w:tc>
      </w:tr>
      <w:tr w:rsidR="00C738DE" w:rsidRPr="009E1791" w14:paraId="24BCF1FC" w14:textId="77777777" w:rsidTr="00B845C2">
        <w:trPr>
          <w:trHeight w:val="153"/>
        </w:trPr>
        <w:tc>
          <w:tcPr>
            <w:tcW w:w="3989" w:type="pct"/>
            <w:shd w:val="clear" w:color="auto" w:fill="auto"/>
            <w:noWrap/>
            <w:vAlign w:val="bottom"/>
            <w:hideMark/>
          </w:tcPr>
          <w:p w14:paraId="393474FA" w14:textId="77777777" w:rsidR="00C738DE" w:rsidRPr="009E1791" w:rsidRDefault="00C738DE" w:rsidP="00C7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Wilberforce Primary School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2C7878BF" w14:textId="77777777" w:rsidR="00C738DE" w:rsidRPr="009E1791" w:rsidRDefault="00C738DE" w:rsidP="00C7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-42.61 </w:t>
            </w:r>
          </w:p>
        </w:tc>
      </w:tr>
      <w:tr w:rsidR="00C738DE" w:rsidRPr="009E1791" w14:paraId="4ED33D2E" w14:textId="77777777" w:rsidTr="00B845C2">
        <w:trPr>
          <w:trHeight w:val="153"/>
        </w:trPr>
        <w:tc>
          <w:tcPr>
            <w:tcW w:w="3989" w:type="pct"/>
            <w:shd w:val="clear" w:color="auto" w:fill="auto"/>
            <w:noWrap/>
            <w:vAlign w:val="bottom"/>
            <w:hideMark/>
          </w:tcPr>
          <w:p w14:paraId="7F9C05AB" w14:textId="77777777" w:rsidR="00C738DE" w:rsidRPr="009E1791" w:rsidRDefault="00C738DE" w:rsidP="00C7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GATEWAY ACADEMY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1F926902" w14:textId="77777777" w:rsidR="00C738DE" w:rsidRPr="009E1791" w:rsidRDefault="00C738DE" w:rsidP="00C7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-35.42 </w:t>
            </w:r>
          </w:p>
        </w:tc>
      </w:tr>
      <w:tr w:rsidR="00C738DE" w:rsidRPr="009E1791" w14:paraId="0E9DD681" w14:textId="77777777" w:rsidTr="00B845C2">
        <w:trPr>
          <w:trHeight w:val="153"/>
        </w:trPr>
        <w:tc>
          <w:tcPr>
            <w:tcW w:w="3989" w:type="pct"/>
            <w:shd w:val="clear" w:color="auto" w:fill="auto"/>
            <w:noWrap/>
            <w:vAlign w:val="bottom"/>
            <w:hideMark/>
          </w:tcPr>
          <w:p w14:paraId="18DEE42E" w14:textId="77777777" w:rsidR="00C738DE" w:rsidRPr="009E1791" w:rsidRDefault="00C738DE" w:rsidP="00C7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Christ Church Bentinck School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39E483B7" w14:textId="77777777" w:rsidR="00C738DE" w:rsidRPr="009E1791" w:rsidRDefault="00C738DE" w:rsidP="00C7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-28.61 </w:t>
            </w:r>
          </w:p>
        </w:tc>
      </w:tr>
      <w:tr w:rsidR="00C738DE" w:rsidRPr="009E1791" w14:paraId="0AA01BC1" w14:textId="77777777" w:rsidTr="00B845C2">
        <w:trPr>
          <w:trHeight w:val="153"/>
        </w:trPr>
        <w:tc>
          <w:tcPr>
            <w:tcW w:w="3989" w:type="pct"/>
            <w:shd w:val="clear" w:color="auto" w:fill="auto"/>
            <w:noWrap/>
            <w:vAlign w:val="bottom"/>
            <w:hideMark/>
          </w:tcPr>
          <w:p w14:paraId="583AD03A" w14:textId="77777777" w:rsidR="00C738DE" w:rsidRPr="009E1791" w:rsidRDefault="00C738DE" w:rsidP="00C7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St</w:t>
            </w:r>
            <w:r w:rsidR="00570599"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 xml:space="preserve">.  </w:t>
            </w:r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Edward's Catholic Primary School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63533834" w14:textId="77777777" w:rsidR="00C738DE" w:rsidRPr="009E1791" w:rsidRDefault="00C738DE" w:rsidP="00C7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-22.22 </w:t>
            </w:r>
          </w:p>
        </w:tc>
      </w:tr>
      <w:tr w:rsidR="00C738DE" w:rsidRPr="009E1791" w14:paraId="7049F732" w14:textId="77777777" w:rsidTr="00B845C2">
        <w:trPr>
          <w:trHeight w:val="153"/>
        </w:trPr>
        <w:tc>
          <w:tcPr>
            <w:tcW w:w="3989" w:type="pct"/>
            <w:shd w:val="clear" w:color="auto" w:fill="auto"/>
            <w:noWrap/>
            <w:vAlign w:val="bottom"/>
            <w:hideMark/>
          </w:tcPr>
          <w:p w14:paraId="3B556E11" w14:textId="77777777" w:rsidR="00C738DE" w:rsidRPr="009E1791" w:rsidRDefault="00C738DE" w:rsidP="00C7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BURDETT COUTTS &amp; TOWNSHEND FOUNDATION CE VA SCH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576C496E" w14:textId="77777777" w:rsidR="00C738DE" w:rsidRPr="009E1791" w:rsidRDefault="00C738DE" w:rsidP="00C7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-22.08 </w:t>
            </w:r>
          </w:p>
        </w:tc>
      </w:tr>
      <w:tr w:rsidR="00C738DE" w:rsidRPr="009E1791" w14:paraId="0F834654" w14:textId="77777777" w:rsidTr="00B845C2">
        <w:trPr>
          <w:trHeight w:val="153"/>
        </w:trPr>
        <w:tc>
          <w:tcPr>
            <w:tcW w:w="3989" w:type="pct"/>
            <w:shd w:val="clear" w:color="auto" w:fill="auto"/>
            <w:noWrap/>
            <w:vAlign w:val="bottom"/>
            <w:hideMark/>
          </w:tcPr>
          <w:p w14:paraId="609D2B21" w14:textId="77777777" w:rsidR="00C738DE" w:rsidRPr="009E1791" w:rsidRDefault="00C738DE" w:rsidP="00C7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George Eliot Primary School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088C7579" w14:textId="77777777" w:rsidR="00C738DE" w:rsidRPr="009E1791" w:rsidRDefault="00C738DE" w:rsidP="00C7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-20.85 </w:t>
            </w:r>
          </w:p>
        </w:tc>
      </w:tr>
      <w:tr w:rsidR="00C738DE" w:rsidRPr="009E1791" w14:paraId="6BAA482C" w14:textId="77777777" w:rsidTr="00B845C2">
        <w:trPr>
          <w:trHeight w:val="153"/>
        </w:trPr>
        <w:tc>
          <w:tcPr>
            <w:tcW w:w="3989" w:type="pct"/>
            <w:shd w:val="clear" w:color="auto" w:fill="auto"/>
            <w:noWrap/>
            <w:vAlign w:val="bottom"/>
            <w:hideMark/>
          </w:tcPr>
          <w:p w14:paraId="3A2DADCD" w14:textId="77777777" w:rsidR="00C738DE" w:rsidRPr="009E1791" w:rsidRDefault="00C738DE" w:rsidP="00C7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Edward Wilson Primary School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05716E8A" w14:textId="77777777" w:rsidR="00C738DE" w:rsidRPr="009E1791" w:rsidRDefault="00C738DE" w:rsidP="00C7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-20.64 </w:t>
            </w:r>
          </w:p>
        </w:tc>
      </w:tr>
      <w:tr w:rsidR="00C738DE" w:rsidRPr="009E1791" w14:paraId="631E47F3" w14:textId="77777777" w:rsidTr="00B845C2">
        <w:trPr>
          <w:trHeight w:val="153"/>
        </w:trPr>
        <w:tc>
          <w:tcPr>
            <w:tcW w:w="3989" w:type="pct"/>
            <w:shd w:val="clear" w:color="auto" w:fill="auto"/>
            <w:noWrap/>
            <w:vAlign w:val="bottom"/>
            <w:hideMark/>
          </w:tcPr>
          <w:p w14:paraId="7E9FA7FB" w14:textId="77777777" w:rsidR="00C738DE" w:rsidRPr="009E1791" w:rsidRDefault="00C738DE" w:rsidP="00C7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ST</w:t>
            </w:r>
            <w:r w:rsidR="00570599"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 xml:space="preserve">.  </w:t>
            </w:r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LUKE'S CE PRIMARY SCHOOL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4DFC4CE2" w14:textId="77777777" w:rsidR="00C738DE" w:rsidRPr="009E1791" w:rsidRDefault="00C738DE" w:rsidP="00C7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-20.18 </w:t>
            </w:r>
          </w:p>
        </w:tc>
      </w:tr>
      <w:tr w:rsidR="00C738DE" w:rsidRPr="009E1791" w14:paraId="634A06DD" w14:textId="77777777" w:rsidTr="00B845C2">
        <w:trPr>
          <w:trHeight w:val="153"/>
        </w:trPr>
        <w:tc>
          <w:tcPr>
            <w:tcW w:w="3989" w:type="pct"/>
            <w:shd w:val="clear" w:color="auto" w:fill="auto"/>
            <w:noWrap/>
            <w:vAlign w:val="bottom"/>
            <w:hideMark/>
          </w:tcPr>
          <w:p w14:paraId="1BBB2AEB" w14:textId="77777777" w:rsidR="00C738DE" w:rsidRPr="009E1791" w:rsidRDefault="00C738DE" w:rsidP="00C7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proofErr w:type="spellStart"/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Essendine</w:t>
            </w:r>
            <w:proofErr w:type="spellEnd"/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766A3396" w14:textId="77777777" w:rsidR="00C738DE" w:rsidRPr="009E1791" w:rsidRDefault="00C738DE" w:rsidP="00C7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-19.50 </w:t>
            </w:r>
          </w:p>
        </w:tc>
      </w:tr>
      <w:tr w:rsidR="00C738DE" w:rsidRPr="009E1791" w14:paraId="3939F211" w14:textId="77777777" w:rsidTr="00B845C2">
        <w:trPr>
          <w:trHeight w:val="153"/>
        </w:trPr>
        <w:tc>
          <w:tcPr>
            <w:tcW w:w="3989" w:type="pct"/>
            <w:shd w:val="clear" w:color="auto" w:fill="auto"/>
            <w:noWrap/>
            <w:vAlign w:val="bottom"/>
            <w:hideMark/>
          </w:tcPr>
          <w:p w14:paraId="29F6326A" w14:textId="77777777" w:rsidR="00C738DE" w:rsidRPr="009E1791" w:rsidRDefault="00C738DE" w:rsidP="00C7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St Mary Magdalene School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64F8D616" w14:textId="77777777" w:rsidR="00C738DE" w:rsidRPr="009E1791" w:rsidRDefault="00C738DE" w:rsidP="00C7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-13.45 </w:t>
            </w:r>
          </w:p>
        </w:tc>
      </w:tr>
      <w:tr w:rsidR="00C738DE" w:rsidRPr="009E1791" w14:paraId="657F9D5C" w14:textId="77777777" w:rsidTr="00B845C2">
        <w:trPr>
          <w:trHeight w:val="153"/>
        </w:trPr>
        <w:tc>
          <w:tcPr>
            <w:tcW w:w="3989" w:type="pct"/>
            <w:shd w:val="clear" w:color="auto" w:fill="auto"/>
            <w:noWrap/>
            <w:vAlign w:val="bottom"/>
            <w:hideMark/>
          </w:tcPr>
          <w:p w14:paraId="7F085B7A" w14:textId="77777777" w:rsidR="00C738DE" w:rsidRPr="009E1791" w:rsidRDefault="00C738DE" w:rsidP="00C73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St Mary of the Angels Catholic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7EAA4756" w14:textId="77777777" w:rsidR="00C738DE" w:rsidRPr="009E1791" w:rsidRDefault="00C738DE" w:rsidP="00C73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9E1791">
              <w:rPr>
                <w:rFonts w:ascii="Arial" w:eastAsia="Times New Roman" w:hAnsi="Arial" w:cs="Arial"/>
                <w:color w:val="FF0000"/>
                <w:sz w:val="24"/>
                <w:szCs w:val="18"/>
                <w:lang w:eastAsia="en-GB"/>
              </w:rPr>
              <w:t xml:space="preserve">-11.83 </w:t>
            </w:r>
          </w:p>
        </w:tc>
      </w:tr>
    </w:tbl>
    <w:p w14:paraId="6BC4BAA5" w14:textId="77777777" w:rsidR="00E16FFE" w:rsidRPr="00A125CE" w:rsidRDefault="00E16FFE" w:rsidP="00A125CE">
      <w:pPr>
        <w:pStyle w:val="ListParagraph"/>
        <w:tabs>
          <w:tab w:val="left" w:pos="709"/>
        </w:tabs>
        <w:ind w:left="1080"/>
        <w:jc w:val="both"/>
        <w:rPr>
          <w:rFonts w:ascii="Verdana" w:hAnsi="Verdana" w:cs="Arial"/>
          <w:sz w:val="24"/>
          <w:szCs w:val="24"/>
        </w:rPr>
      </w:pPr>
    </w:p>
    <w:p w14:paraId="75393F2E" w14:textId="77777777" w:rsidR="00024ADF" w:rsidRPr="00E16FFE" w:rsidRDefault="00024ADF" w:rsidP="00751359">
      <w:pPr>
        <w:pStyle w:val="ListParagraph"/>
        <w:tabs>
          <w:tab w:val="left" w:pos="709"/>
        </w:tabs>
        <w:ind w:left="1080"/>
        <w:jc w:val="both"/>
        <w:rPr>
          <w:rFonts w:ascii="Verdana" w:hAnsi="Verdana" w:cs="Arial"/>
          <w:sz w:val="24"/>
          <w:szCs w:val="24"/>
        </w:rPr>
      </w:pPr>
    </w:p>
    <w:p w14:paraId="3039AFA3" w14:textId="77777777" w:rsidR="005A0141" w:rsidRPr="009E1791" w:rsidRDefault="00024ADF" w:rsidP="00B845C2">
      <w:pPr>
        <w:tabs>
          <w:tab w:val="left" w:pos="709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 w:rsidRPr="009E1791">
        <w:rPr>
          <w:rFonts w:asciiTheme="majorHAnsi" w:hAnsiTheme="majorHAnsi" w:cstheme="majorHAnsi"/>
          <w:b/>
          <w:sz w:val="24"/>
          <w:szCs w:val="24"/>
        </w:rPr>
        <w:t>Table 5</w:t>
      </w:r>
      <w:r w:rsidR="00C15BA2" w:rsidRPr="009E1791">
        <w:rPr>
          <w:rFonts w:asciiTheme="majorHAnsi" w:hAnsiTheme="majorHAnsi" w:cstheme="majorHAnsi"/>
          <w:b/>
          <w:sz w:val="24"/>
          <w:szCs w:val="24"/>
        </w:rPr>
        <w:t>: Largest reductions in EAL 3 Units.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8"/>
        <w:gridCol w:w="1428"/>
      </w:tblGrid>
      <w:tr w:rsidR="005A0141" w:rsidRPr="009E1791" w14:paraId="6B0BDB5D" w14:textId="77777777" w:rsidTr="00B845C2">
        <w:trPr>
          <w:trHeight w:val="651"/>
        </w:trPr>
        <w:tc>
          <w:tcPr>
            <w:tcW w:w="4208" w:type="pct"/>
            <w:shd w:val="clear" w:color="auto" w:fill="BFBFBF" w:themeFill="background1" w:themeFillShade="BF"/>
            <w:vAlign w:val="center"/>
            <w:hideMark/>
          </w:tcPr>
          <w:p w14:paraId="3013D7A8" w14:textId="77777777" w:rsidR="005A0141" w:rsidRPr="009E1791" w:rsidRDefault="005A0141" w:rsidP="005A014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School Name</w:t>
            </w:r>
          </w:p>
        </w:tc>
        <w:tc>
          <w:tcPr>
            <w:tcW w:w="792" w:type="pct"/>
            <w:shd w:val="clear" w:color="auto" w:fill="BFBFBF" w:themeFill="background1" w:themeFillShade="BF"/>
            <w:vAlign w:val="center"/>
            <w:hideMark/>
          </w:tcPr>
          <w:p w14:paraId="044520E6" w14:textId="77777777" w:rsidR="005A0141" w:rsidRPr="009E1791" w:rsidRDefault="005A0141" w:rsidP="0022052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EAL 3 Units</w:t>
            </w:r>
          </w:p>
        </w:tc>
      </w:tr>
      <w:tr w:rsidR="005A0141" w:rsidRPr="009E1791" w14:paraId="2A9ABEF6" w14:textId="77777777" w:rsidTr="00B845C2">
        <w:trPr>
          <w:trHeight w:val="228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40EB6763" w14:textId="77777777" w:rsidR="005A0141" w:rsidRPr="009E1791" w:rsidRDefault="005A0141" w:rsidP="005A0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Paddington Green Primary School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1EA0A52" w14:textId="77777777" w:rsidR="005A0141" w:rsidRPr="009E1791" w:rsidRDefault="005A0141" w:rsidP="005A01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-19.78 </w:t>
            </w:r>
          </w:p>
        </w:tc>
      </w:tr>
      <w:tr w:rsidR="005A0141" w:rsidRPr="009E1791" w14:paraId="5FC3FDB2" w14:textId="77777777" w:rsidTr="00B845C2">
        <w:trPr>
          <w:trHeight w:val="228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0D9CAEAC" w14:textId="77777777" w:rsidR="005A0141" w:rsidRPr="009E1791" w:rsidRDefault="005A0141" w:rsidP="005A0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Minerva Academy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EE5C504" w14:textId="77777777" w:rsidR="005A0141" w:rsidRPr="009E1791" w:rsidRDefault="005A0141" w:rsidP="005A01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-27.54 </w:t>
            </w:r>
          </w:p>
        </w:tc>
      </w:tr>
      <w:tr w:rsidR="005A0141" w:rsidRPr="009E1791" w14:paraId="43F1574C" w14:textId="77777777" w:rsidTr="00B845C2">
        <w:trPr>
          <w:trHeight w:val="228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7CE88E4C" w14:textId="77777777" w:rsidR="005A0141" w:rsidRPr="009E1791" w:rsidRDefault="005A0141" w:rsidP="005A0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BURDETT COUTTS &amp; TOWNSHEND FOUNDATION CE VA SCH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0A7E463" w14:textId="77777777" w:rsidR="005A0141" w:rsidRPr="009E1791" w:rsidRDefault="005A0141" w:rsidP="005A01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-23.73 </w:t>
            </w:r>
          </w:p>
        </w:tc>
      </w:tr>
      <w:tr w:rsidR="005A0141" w:rsidRPr="009E1791" w14:paraId="7E4D7264" w14:textId="77777777" w:rsidTr="00B845C2">
        <w:trPr>
          <w:trHeight w:val="228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1CAED455" w14:textId="77777777" w:rsidR="005A0141" w:rsidRPr="009E1791" w:rsidRDefault="005A0141" w:rsidP="005A0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Wilberforce Primary School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A147806" w14:textId="77777777" w:rsidR="005A0141" w:rsidRPr="009E1791" w:rsidRDefault="005A0141" w:rsidP="005A01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-23.43 </w:t>
            </w:r>
          </w:p>
        </w:tc>
      </w:tr>
      <w:tr w:rsidR="005A0141" w:rsidRPr="009E1791" w14:paraId="79CA6CE8" w14:textId="77777777" w:rsidTr="00B845C2">
        <w:trPr>
          <w:trHeight w:val="228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7C2A5C0A" w14:textId="77777777" w:rsidR="005A0141" w:rsidRPr="009E1791" w:rsidRDefault="005A0141" w:rsidP="005A0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St Mary of the Angels Catholic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019D343" w14:textId="77777777" w:rsidR="005A0141" w:rsidRPr="009E1791" w:rsidRDefault="005A0141" w:rsidP="005A01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-20.16 </w:t>
            </w:r>
          </w:p>
        </w:tc>
      </w:tr>
      <w:tr w:rsidR="005A0141" w:rsidRPr="009E1791" w14:paraId="206A39CA" w14:textId="77777777" w:rsidTr="00B845C2">
        <w:trPr>
          <w:trHeight w:val="228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65C0E9A1" w14:textId="77777777" w:rsidR="005A0141" w:rsidRPr="009E1791" w:rsidRDefault="005A0141" w:rsidP="005A0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Hallfield</w:t>
            </w:r>
            <w:proofErr w:type="spellEnd"/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4CFBBF3" w14:textId="77777777" w:rsidR="005A0141" w:rsidRPr="009E1791" w:rsidRDefault="005A0141" w:rsidP="005A01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-19.40 </w:t>
            </w:r>
          </w:p>
        </w:tc>
      </w:tr>
      <w:tr w:rsidR="005A0141" w:rsidRPr="009E1791" w14:paraId="1F718D3C" w14:textId="77777777" w:rsidTr="00B845C2">
        <w:trPr>
          <w:trHeight w:val="228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2637AC10" w14:textId="77777777" w:rsidR="005A0141" w:rsidRPr="009E1791" w:rsidRDefault="005A0141" w:rsidP="005A0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Christ Church Bentinck School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0D0A5B3" w14:textId="77777777" w:rsidR="005A0141" w:rsidRPr="009E1791" w:rsidRDefault="005A0141" w:rsidP="005A01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-18.03 </w:t>
            </w:r>
          </w:p>
        </w:tc>
      </w:tr>
      <w:tr w:rsidR="005A0141" w:rsidRPr="009E1791" w14:paraId="608733EC" w14:textId="77777777" w:rsidTr="00B845C2">
        <w:trPr>
          <w:trHeight w:val="228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6243FC07" w14:textId="77777777" w:rsidR="005A0141" w:rsidRPr="009E1791" w:rsidRDefault="005A0141" w:rsidP="005A0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MILLBANK ACADEMY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5289273" w14:textId="77777777" w:rsidR="005A0141" w:rsidRPr="009E1791" w:rsidRDefault="005A0141" w:rsidP="005A01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-16.94 </w:t>
            </w:r>
          </w:p>
        </w:tc>
      </w:tr>
      <w:tr w:rsidR="005A0141" w:rsidRPr="009E1791" w14:paraId="3E8730A3" w14:textId="77777777" w:rsidTr="00B845C2">
        <w:trPr>
          <w:trHeight w:val="228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3DDFBF06" w14:textId="77777777" w:rsidR="005A0141" w:rsidRPr="009E1791" w:rsidRDefault="005A0141" w:rsidP="005A0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St George's(Hanover </w:t>
            </w:r>
            <w:proofErr w:type="spellStart"/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Sq</w:t>
            </w:r>
            <w:proofErr w:type="spellEnd"/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)School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BB01E4C" w14:textId="77777777" w:rsidR="005A0141" w:rsidRPr="009E1791" w:rsidRDefault="005A0141" w:rsidP="005A01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-15.54 </w:t>
            </w:r>
          </w:p>
        </w:tc>
      </w:tr>
      <w:tr w:rsidR="005A0141" w:rsidRPr="009E1791" w14:paraId="02C2E88A" w14:textId="77777777" w:rsidTr="00B845C2">
        <w:trPr>
          <w:trHeight w:val="228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6361ADB0" w14:textId="77777777" w:rsidR="005A0141" w:rsidRPr="009E1791" w:rsidRDefault="005A0141" w:rsidP="005A0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St</w:t>
            </w:r>
            <w:r w:rsidR="00570599"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 </w:t>
            </w: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VINCENT DE PAUL PRIMARY SC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55115ED" w14:textId="77777777" w:rsidR="005A0141" w:rsidRPr="009E1791" w:rsidRDefault="005A0141" w:rsidP="005A01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-14.01 </w:t>
            </w:r>
          </w:p>
        </w:tc>
      </w:tr>
      <w:tr w:rsidR="005A0141" w:rsidRPr="009E1791" w14:paraId="40D620A8" w14:textId="77777777" w:rsidTr="00B845C2">
        <w:trPr>
          <w:trHeight w:val="228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0A5F9588" w14:textId="77777777" w:rsidR="005A0141" w:rsidRPr="009E1791" w:rsidRDefault="005A0141" w:rsidP="005A0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St Mary's Bryanston </w:t>
            </w:r>
            <w:proofErr w:type="spellStart"/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Sq.School</w:t>
            </w:r>
            <w:proofErr w:type="spellEnd"/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FF83A02" w14:textId="77777777" w:rsidR="005A0141" w:rsidRPr="009E1791" w:rsidRDefault="005A0141" w:rsidP="005A01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-13.57 </w:t>
            </w:r>
          </w:p>
        </w:tc>
      </w:tr>
      <w:tr w:rsidR="005A0141" w:rsidRPr="009E1791" w14:paraId="03568108" w14:textId="77777777" w:rsidTr="00B845C2">
        <w:trPr>
          <w:trHeight w:val="228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71AF91A0" w14:textId="77777777" w:rsidR="005A0141" w:rsidRPr="009E1791" w:rsidRDefault="005A0141" w:rsidP="005A0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Westminster Cathedral School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7729F4F" w14:textId="77777777" w:rsidR="005A0141" w:rsidRPr="009E1791" w:rsidRDefault="005A0141" w:rsidP="005A01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-13.04 </w:t>
            </w:r>
          </w:p>
        </w:tc>
      </w:tr>
      <w:tr w:rsidR="005A0141" w:rsidRPr="009E1791" w14:paraId="63CE1BAF" w14:textId="77777777" w:rsidTr="00B845C2">
        <w:trPr>
          <w:trHeight w:val="228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28A0AF9A" w14:textId="77777777" w:rsidR="005A0141" w:rsidRPr="009E1791" w:rsidRDefault="005A0141" w:rsidP="005A0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Churchill Gardens Primary Academy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77D7A6B" w14:textId="77777777" w:rsidR="005A0141" w:rsidRPr="009E1791" w:rsidRDefault="005A0141" w:rsidP="005A01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-12.93 </w:t>
            </w:r>
          </w:p>
        </w:tc>
      </w:tr>
      <w:tr w:rsidR="005A0141" w:rsidRPr="009E1791" w14:paraId="0ED3CF82" w14:textId="77777777" w:rsidTr="00B845C2">
        <w:trPr>
          <w:trHeight w:val="228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7508E6FB" w14:textId="77777777" w:rsidR="005A0141" w:rsidRPr="009E1791" w:rsidRDefault="005A0141" w:rsidP="005A01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ST</w:t>
            </w:r>
            <w:r w:rsidR="00570599"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 </w:t>
            </w: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LUKE'S CE PRIMARY SCHOOL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192264A" w14:textId="77777777" w:rsidR="005A0141" w:rsidRPr="009E1791" w:rsidRDefault="005A0141" w:rsidP="005A01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-12.68 </w:t>
            </w:r>
          </w:p>
        </w:tc>
      </w:tr>
      <w:tr w:rsidR="0022052A" w:rsidRPr="009E1791" w14:paraId="3CD814AD" w14:textId="77777777" w:rsidTr="00B845C2">
        <w:trPr>
          <w:trHeight w:val="253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6ECC73FB" w14:textId="77777777" w:rsidR="0022052A" w:rsidRPr="009E1791" w:rsidRDefault="002205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Westminster Academy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48A6882" w14:textId="77777777" w:rsidR="0022052A" w:rsidRPr="009E1791" w:rsidRDefault="0022052A" w:rsidP="0022052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-46.00 </w:t>
            </w:r>
          </w:p>
        </w:tc>
      </w:tr>
      <w:tr w:rsidR="0022052A" w:rsidRPr="009E1791" w14:paraId="2CBAFE39" w14:textId="77777777" w:rsidTr="00B845C2">
        <w:trPr>
          <w:trHeight w:val="253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489DF555" w14:textId="77777777" w:rsidR="0022052A" w:rsidRPr="009E1791" w:rsidRDefault="0022052A" w:rsidP="002205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Westminster City School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ED99877" w14:textId="77777777" w:rsidR="0022052A" w:rsidRPr="009E1791" w:rsidRDefault="0022052A" w:rsidP="0022052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-16.36 </w:t>
            </w:r>
          </w:p>
        </w:tc>
      </w:tr>
      <w:tr w:rsidR="0022052A" w:rsidRPr="009E1791" w14:paraId="014C9D9C" w14:textId="77777777" w:rsidTr="00B845C2">
        <w:trPr>
          <w:trHeight w:val="253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1CB7A740" w14:textId="77777777" w:rsidR="0022052A" w:rsidRPr="009E1791" w:rsidRDefault="0022052A" w:rsidP="002205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PIMLICO ACADEMY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C981439" w14:textId="77777777" w:rsidR="0022052A" w:rsidRPr="009E1791" w:rsidRDefault="0022052A" w:rsidP="0022052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-13.86 </w:t>
            </w:r>
          </w:p>
        </w:tc>
      </w:tr>
      <w:tr w:rsidR="0022052A" w:rsidRPr="009E1791" w14:paraId="5A383458" w14:textId="77777777" w:rsidTr="00B845C2">
        <w:trPr>
          <w:trHeight w:val="253"/>
        </w:trPr>
        <w:tc>
          <w:tcPr>
            <w:tcW w:w="4208" w:type="pct"/>
            <w:shd w:val="clear" w:color="auto" w:fill="auto"/>
            <w:noWrap/>
            <w:vAlign w:val="bottom"/>
            <w:hideMark/>
          </w:tcPr>
          <w:p w14:paraId="73472769" w14:textId="77777777" w:rsidR="0022052A" w:rsidRPr="009E1791" w:rsidRDefault="0022052A" w:rsidP="002205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sz w:val="24"/>
                <w:szCs w:val="24"/>
                <w:lang w:eastAsia="en-GB"/>
              </w:rPr>
              <w:t>St George's School Westminster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BBFDAC3" w14:textId="77777777" w:rsidR="0022052A" w:rsidRPr="009E1791" w:rsidRDefault="0022052A" w:rsidP="0022052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1791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-10.98 </w:t>
            </w:r>
          </w:p>
        </w:tc>
      </w:tr>
    </w:tbl>
    <w:p w14:paraId="393CF514" w14:textId="77777777" w:rsidR="0022052A" w:rsidRDefault="0022052A" w:rsidP="002A11F8">
      <w:pPr>
        <w:tabs>
          <w:tab w:val="left" w:pos="709"/>
        </w:tabs>
        <w:jc w:val="both"/>
        <w:rPr>
          <w:rFonts w:ascii="Verdana" w:hAnsi="Verdana" w:cs="Arial"/>
          <w:sz w:val="24"/>
          <w:szCs w:val="24"/>
        </w:rPr>
      </w:pPr>
    </w:p>
    <w:p w14:paraId="7292C353" w14:textId="77777777" w:rsidR="00EB4182" w:rsidRDefault="00EB4182">
      <w:pPr>
        <w:spacing w:after="0" w:line="24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br w:type="page"/>
      </w:r>
    </w:p>
    <w:p w14:paraId="03AEFC77" w14:textId="77777777" w:rsidR="009F0933" w:rsidRPr="00FA03D7" w:rsidRDefault="00FE28EE" w:rsidP="009F0933">
      <w:pPr>
        <w:pStyle w:val="ListParagraph"/>
        <w:numPr>
          <w:ilvl w:val="0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FA03D7">
        <w:rPr>
          <w:rFonts w:ascii="Verdana" w:hAnsi="Verdana" w:cs="Arial"/>
          <w:b/>
          <w:sz w:val="24"/>
          <w:szCs w:val="24"/>
        </w:rPr>
        <w:lastRenderedPageBreak/>
        <w:t>Funding Implication of 2016</w:t>
      </w:r>
      <w:r w:rsidR="008133E7" w:rsidRPr="00FA03D7">
        <w:rPr>
          <w:rFonts w:ascii="Verdana" w:hAnsi="Verdana" w:cs="Arial"/>
          <w:b/>
          <w:sz w:val="24"/>
          <w:szCs w:val="24"/>
        </w:rPr>
        <w:t xml:space="preserve"> data sets</w:t>
      </w:r>
    </w:p>
    <w:p w14:paraId="6B18183A" w14:textId="4BFCBE22" w:rsidR="00807FCE" w:rsidRPr="00FA03D7" w:rsidRDefault="00807FCE" w:rsidP="009F0933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 xml:space="preserve">Tables 6 &amp; 7 </w:t>
      </w:r>
      <w:r w:rsidR="008133E7" w:rsidRPr="00FA03D7">
        <w:rPr>
          <w:rFonts w:ascii="Verdana" w:hAnsi="Verdana" w:cs="Arial"/>
          <w:sz w:val="24"/>
          <w:szCs w:val="24"/>
        </w:rPr>
        <w:t>show the application of funding using the new data sets</w:t>
      </w:r>
      <w:r w:rsidR="00AF70C3" w:rsidRPr="00FA03D7">
        <w:rPr>
          <w:rFonts w:ascii="Verdana" w:hAnsi="Verdana" w:cs="Arial"/>
          <w:sz w:val="24"/>
          <w:szCs w:val="24"/>
        </w:rPr>
        <w:t xml:space="preserve"> and disapplication of funding</w:t>
      </w:r>
      <w:r w:rsidR="008133E7" w:rsidRPr="00FA03D7">
        <w:rPr>
          <w:rFonts w:ascii="Verdana" w:hAnsi="Verdana" w:cs="Arial"/>
          <w:sz w:val="24"/>
          <w:szCs w:val="24"/>
        </w:rPr>
        <w:t xml:space="preserve"> and compares the position to 201</w:t>
      </w:r>
      <w:r w:rsidR="005B5F3F" w:rsidRPr="00FA03D7">
        <w:rPr>
          <w:rFonts w:ascii="Verdana" w:hAnsi="Verdana" w:cs="Arial"/>
          <w:sz w:val="24"/>
          <w:szCs w:val="24"/>
        </w:rPr>
        <w:t>6</w:t>
      </w:r>
      <w:r w:rsidR="00FE28EE" w:rsidRPr="00FA03D7">
        <w:rPr>
          <w:rFonts w:ascii="Verdana" w:hAnsi="Verdana" w:cs="Arial"/>
          <w:sz w:val="24"/>
          <w:szCs w:val="24"/>
        </w:rPr>
        <w:t>/17 APT (which used 2015</w:t>
      </w:r>
      <w:r w:rsidR="008133E7" w:rsidRPr="00FA03D7">
        <w:rPr>
          <w:rFonts w:ascii="Verdana" w:hAnsi="Verdana" w:cs="Arial"/>
          <w:sz w:val="24"/>
          <w:szCs w:val="24"/>
        </w:rPr>
        <w:t xml:space="preserve"> data sets)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6DFEE0EC" w14:textId="145B68C5" w:rsidR="00DE72EB" w:rsidRPr="00FA03D7" w:rsidRDefault="00DE72EB" w:rsidP="00DE72EB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FA03D7">
        <w:rPr>
          <w:rFonts w:ascii="Verdana" w:hAnsi="Verdana" w:cs="Arial"/>
          <w:color w:val="000000" w:themeColor="text1"/>
          <w:sz w:val="24"/>
          <w:szCs w:val="24"/>
        </w:rPr>
        <w:t>With the drop in pupil numbers this has impacted the basic entitled fun</w:t>
      </w:r>
      <w:r w:rsidR="001E4EBA" w:rsidRPr="00FA03D7">
        <w:rPr>
          <w:rFonts w:ascii="Verdana" w:hAnsi="Verdana" w:cs="Arial"/>
          <w:color w:val="000000" w:themeColor="text1"/>
          <w:sz w:val="24"/>
          <w:szCs w:val="24"/>
        </w:rPr>
        <w:t>ding causing a reduction of £0.6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>m overall</w:t>
      </w:r>
      <w:r w:rsidR="001E4EBA" w:rsidRPr="00FA03D7">
        <w:rPr>
          <w:rFonts w:ascii="Verdana" w:hAnsi="Verdana" w:cs="Arial"/>
          <w:color w:val="000000" w:themeColor="text1"/>
          <w:sz w:val="24"/>
          <w:szCs w:val="24"/>
        </w:rPr>
        <w:t xml:space="preserve"> (Table 9)</w:t>
      </w:r>
      <w:r w:rsidR="00A05F71" w:rsidRPr="00FA03D7">
        <w:rPr>
          <w:rFonts w:ascii="Verdana" w:hAnsi="Verdana" w:cs="Arial"/>
          <w:color w:val="000000" w:themeColor="text1"/>
          <w:sz w:val="24"/>
          <w:szCs w:val="24"/>
        </w:rPr>
        <w:t>,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 including </w:t>
      </w:r>
      <w:r w:rsidR="00A31727" w:rsidRPr="00FA03D7">
        <w:rPr>
          <w:rFonts w:ascii="Verdana" w:hAnsi="Verdana" w:cs="Arial"/>
          <w:color w:val="000000" w:themeColor="text1"/>
          <w:sz w:val="24"/>
          <w:szCs w:val="24"/>
        </w:rPr>
        <w:t>the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 increase in Key Stage 3 pupils.</w:t>
      </w:r>
    </w:p>
    <w:p w14:paraId="6607A489" w14:textId="6E8BF80B" w:rsidR="002F5B0C" w:rsidRPr="00FA03D7" w:rsidRDefault="00DE72EB" w:rsidP="00DE72EB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The data </w:t>
      </w:r>
      <w:r w:rsidR="00AF70C3" w:rsidRPr="00FA03D7">
        <w:rPr>
          <w:rFonts w:ascii="Verdana" w:hAnsi="Verdana" w:cs="Arial"/>
          <w:color w:val="000000" w:themeColor="text1"/>
          <w:sz w:val="24"/>
          <w:szCs w:val="24"/>
        </w:rPr>
        <w:t>in Table 8 and 9</w:t>
      </w:r>
      <w:r w:rsidR="00D15203" w:rsidRPr="00FA03D7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shows large reductions </w:t>
      </w:r>
      <w:r w:rsidR="00D15203" w:rsidRPr="00FA03D7">
        <w:rPr>
          <w:rFonts w:ascii="Verdana" w:hAnsi="Verdana" w:cs="Arial"/>
          <w:color w:val="000000" w:themeColor="text1"/>
          <w:sz w:val="24"/>
          <w:szCs w:val="24"/>
        </w:rPr>
        <w:t xml:space="preserve">in 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FSM Ever 6 </w:t>
      </w:r>
      <w:r w:rsidR="00CF3DD7" w:rsidRPr="00FA03D7">
        <w:rPr>
          <w:rFonts w:ascii="Verdana" w:hAnsi="Verdana" w:cs="Arial"/>
          <w:color w:val="000000" w:themeColor="text1"/>
          <w:sz w:val="24"/>
          <w:szCs w:val="24"/>
        </w:rPr>
        <w:t>primary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4B7A39" w:rsidRPr="00FA03D7">
        <w:rPr>
          <w:rFonts w:ascii="Verdana" w:hAnsi="Verdana" w:cs="Arial"/>
          <w:color w:val="000000" w:themeColor="text1"/>
          <w:sz w:val="24"/>
          <w:szCs w:val="24"/>
        </w:rPr>
        <w:t xml:space="preserve">funding </w:t>
      </w:r>
      <w:r w:rsidR="00D15203" w:rsidRPr="00FA03D7">
        <w:rPr>
          <w:rFonts w:ascii="Verdana" w:hAnsi="Verdana" w:cs="Arial"/>
          <w:color w:val="000000" w:themeColor="text1"/>
          <w:sz w:val="24"/>
          <w:szCs w:val="24"/>
        </w:rPr>
        <w:t xml:space="preserve">of </w:t>
      </w:r>
      <w:r w:rsidR="004B7A39" w:rsidRPr="00FA03D7">
        <w:rPr>
          <w:rFonts w:ascii="Verdana" w:hAnsi="Verdana" w:cs="Arial"/>
          <w:color w:val="000000" w:themeColor="text1"/>
          <w:sz w:val="24"/>
          <w:szCs w:val="24"/>
        </w:rPr>
        <w:t>£390k and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 FSM Ever 6 </w:t>
      </w:r>
      <w:r w:rsidR="00CF3DD7" w:rsidRPr="00FA03D7">
        <w:rPr>
          <w:rFonts w:ascii="Verdana" w:hAnsi="Verdana" w:cs="Arial"/>
          <w:color w:val="000000" w:themeColor="text1"/>
          <w:sz w:val="24"/>
          <w:szCs w:val="24"/>
        </w:rPr>
        <w:t>secondary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4B7A39" w:rsidRPr="00FA03D7">
        <w:rPr>
          <w:rFonts w:ascii="Verdana" w:hAnsi="Verdana" w:cs="Arial"/>
          <w:color w:val="000000" w:themeColor="text1"/>
          <w:sz w:val="24"/>
          <w:szCs w:val="24"/>
        </w:rPr>
        <w:t xml:space="preserve">funding of 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£206k which is directly attributable to falls in </w:t>
      </w:r>
      <w:r w:rsidR="002F5B0C" w:rsidRPr="00FA03D7">
        <w:rPr>
          <w:rFonts w:ascii="Verdana" w:hAnsi="Verdana" w:cs="Arial"/>
          <w:color w:val="000000" w:themeColor="text1"/>
          <w:sz w:val="24"/>
          <w:szCs w:val="24"/>
        </w:rPr>
        <w:t>pupil numbers.</w:t>
      </w:r>
    </w:p>
    <w:p w14:paraId="4E3FFDB3" w14:textId="77777777" w:rsidR="00DE72EB" w:rsidRPr="00FA03D7" w:rsidRDefault="002F5B0C" w:rsidP="00DE72EB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EAL shows a reduction in funding of </w:t>
      </w:r>
      <w:r w:rsidR="00DE72EB" w:rsidRPr="00FA03D7">
        <w:rPr>
          <w:rFonts w:ascii="Verdana" w:hAnsi="Verdana" w:cs="Arial"/>
          <w:color w:val="000000" w:themeColor="text1"/>
          <w:sz w:val="24"/>
          <w:szCs w:val="24"/>
        </w:rPr>
        <w:t>£343k.</w:t>
      </w:r>
    </w:p>
    <w:p w14:paraId="07F4A561" w14:textId="77777777" w:rsidR="00DE72EB" w:rsidRPr="00FA03D7" w:rsidRDefault="00DE72EB" w:rsidP="00DE72EB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Low Attainment </w:t>
      </w:r>
      <w:r w:rsidR="004B7A39" w:rsidRPr="00FA03D7">
        <w:rPr>
          <w:rFonts w:ascii="Verdana" w:hAnsi="Verdana" w:cs="Arial"/>
          <w:color w:val="000000" w:themeColor="text1"/>
          <w:sz w:val="24"/>
          <w:szCs w:val="24"/>
        </w:rPr>
        <w:t xml:space="preserve">funding </w:t>
      </w:r>
      <w:r w:rsidR="00EC2F9D" w:rsidRPr="00FA03D7">
        <w:rPr>
          <w:rFonts w:ascii="Verdana" w:hAnsi="Verdana" w:cs="Arial"/>
          <w:color w:val="000000" w:themeColor="text1"/>
          <w:sz w:val="24"/>
          <w:szCs w:val="24"/>
        </w:rPr>
        <w:t xml:space="preserve">has decreased overall by 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>£2</w:t>
      </w:r>
      <w:r w:rsidR="00EC2F9D" w:rsidRPr="00FA03D7">
        <w:rPr>
          <w:rFonts w:ascii="Verdana" w:hAnsi="Verdana" w:cs="Arial"/>
          <w:color w:val="000000" w:themeColor="text1"/>
          <w:sz w:val="24"/>
          <w:szCs w:val="24"/>
        </w:rPr>
        <w:t>58k for both secondary and primary funding.</w:t>
      </w:r>
    </w:p>
    <w:p w14:paraId="4F793C8D" w14:textId="77777777" w:rsidR="00DE72EB" w:rsidRPr="00FA03D7" w:rsidRDefault="00A4312D" w:rsidP="00DE72EB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The Authority </w:t>
      </w:r>
      <w:r w:rsidR="00DE72EB" w:rsidRPr="00FA03D7">
        <w:rPr>
          <w:rFonts w:ascii="Verdana" w:hAnsi="Verdana" w:cs="Arial"/>
          <w:color w:val="000000" w:themeColor="text1"/>
          <w:sz w:val="24"/>
          <w:szCs w:val="24"/>
        </w:rPr>
        <w:t xml:space="preserve">have 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>assumed</w:t>
      </w:r>
      <w:r w:rsidR="00DE72EB" w:rsidRPr="00FA03D7">
        <w:rPr>
          <w:rFonts w:ascii="Verdana" w:hAnsi="Verdana" w:cs="Arial"/>
          <w:color w:val="000000" w:themeColor="text1"/>
          <w:sz w:val="24"/>
          <w:szCs w:val="24"/>
        </w:rPr>
        <w:t xml:space="preserve"> an uplift of 25% on N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>ational Non-Domestic Rates</w:t>
      </w:r>
      <w:r w:rsidR="00570599" w:rsidRPr="00FA03D7">
        <w:rPr>
          <w:rFonts w:ascii="Verdana" w:hAnsi="Verdana" w:cs="Arial"/>
          <w:color w:val="000000" w:themeColor="text1"/>
          <w:sz w:val="24"/>
          <w:szCs w:val="24"/>
        </w:rPr>
        <w:t xml:space="preserve">.  </w:t>
      </w:r>
      <w:r w:rsidR="00DE72EB" w:rsidRPr="00FA03D7">
        <w:rPr>
          <w:rFonts w:ascii="Verdana" w:hAnsi="Verdana" w:cs="Arial"/>
          <w:color w:val="000000" w:themeColor="text1"/>
          <w:sz w:val="24"/>
          <w:szCs w:val="24"/>
        </w:rPr>
        <w:t>This is based on the rates calculated for 2016/17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>,</w:t>
      </w:r>
      <w:r w:rsidR="00DE72EB" w:rsidRPr="00FA03D7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factoring in any </w:t>
      </w:r>
      <w:r w:rsidR="00DE72EB" w:rsidRPr="00FA03D7">
        <w:rPr>
          <w:rFonts w:ascii="Verdana" w:hAnsi="Verdana" w:cs="Arial"/>
          <w:color w:val="000000" w:themeColor="text1"/>
          <w:sz w:val="24"/>
          <w:szCs w:val="24"/>
        </w:rPr>
        <w:t xml:space="preserve">schools 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>that</w:t>
      </w:r>
      <w:r w:rsidR="00DE72EB" w:rsidRPr="00FA03D7">
        <w:rPr>
          <w:rFonts w:ascii="Verdana" w:hAnsi="Verdana" w:cs="Arial"/>
          <w:color w:val="000000" w:themeColor="text1"/>
          <w:sz w:val="24"/>
          <w:szCs w:val="24"/>
        </w:rPr>
        <w:t xml:space="preserve"> had a rebate 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>due</w:t>
      </w:r>
      <w:r w:rsidR="00570599" w:rsidRPr="00FA03D7">
        <w:rPr>
          <w:rFonts w:ascii="Verdana" w:hAnsi="Verdana" w:cs="Arial"/>
          <w:color w:val="000000" w:themeColor="text1"/>
          <w:sz w:val="24"/>
          <w:szCs w:val="24"/>
        </w:rPr>
        <w:t xml:space="preserve">.  </w:t>
      </w:r>
      <w:r w:rsidR="00DE72EB" w:rsidRPr="00FA03D7">
        <w:rPr>
          <w:rFonts w:ascii="Verdana" w:hAnsi="Verdana" w:cs="Arial"/>
          <w:color w:val="000000" w:themeColor="text1"/>
          <w:sz w:val="24"/>
          <w:szCs w:val="24"/>
        </w:rPr>
        <w:t xml:space="preserve">We are awaiting further clarification on individual rates 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from within the Authority </w:t>
      </w:r>
      <w:r w:rsidR="00DE72EB" w:rsidRPr="00FA03D7">
        <w:rPr>
          <w:rFonts w:ascii="Verdana" w:hAnsi="Verdana" w:cs="Arial"/>
          <w:color w:val="000000" w:themeColor="text1"/>
          <w:sz w:val="24"/>
          <w:szCs w:val="24"/>
        </w:rPr>
        <w:t xml:space="preserve">and will update 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>the tool in accordance with the actual data</w:t>
      </w:r>
      <w:r w:rsidR="00DE72EB" w:rsidRPr="00FA03D7">
        <w:rPr>
          <w:rFonts w:ascii="Verdana" w:hAnsi="Verdana" w:cs="Arial"/>
          <w:color w:val="000000" w:themeColor="text1"/>
          <w:sz w:val="24"/>
          <w:szCs w:val="24"/>
        </w:rPr>
        <w:t>.</w:t>
      </w:r>
    </w:p>
    <w:p w14:paraId="7914BD8B" w14:textId="4ADE7A7B" w:rsidR="0042732E" w:rsidRPr="00FA03D7" w:rsidRDefault="00DE72EB" w:rsidP="00B943B7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The </w:t>
      </w:r>
      <w:r w:rsidR="002F15AE" w:rsidRPr="00FA03D7">
        <w:rPr>
          <w:rFonts w:ascii="Verdana" w:hAnsi="Verdana" w:cs="Arial"/>
          <w:color w:val="000000" w:themeColor="text1"/>
          <w:sz w:val="24"/>
          <w:szCs w:val="24"/>
        </w:rPr>
        <w:t>A</w:t>
      </w:r>
      <w:r w:rsidR="00A4312D" w:rsidRPr="00FA03D7">
        <w:rPr>
          <w:rFonts w:ascii="Verdana" w:hAnsi="Verdana" w:cs="Arial"/>
          <w:color w:val="000000" w:themeColor="text1"/>
          <w:sz w:val="24"/>
          <w:szCs w:val="24"/>
        </w:rPr>
        <w:t xml:space="preserve">uthority has made a request to </w:t>
      </w:r>
      <w:proofErr w:type="spellStart"/>
      <w:r w:rsidR="00A4312D" w:rsidRPr="00FA03D7">
        <w:rPr>
          <w:rFonts w:ascii="Verdana" w:hAnsi="Verdana" w:cs="Arial"/>
          <w:color w:val="000000" w:themeColor="text1"/>
          <w:sz w:val="24"/>
          <w:szCs w:val="24"/>
        </w:rPr>
        <w:t>d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>isapply</w:t>
      </w:r>
      <w:proofErr w:type="spellEnd"/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A4312D" w:rsidRPr="00FA03D7">
        <w:rPr>
          <w:rFonts w:ascii="Verdana" w:hAnsi="Verdana" w:cs="Arial"/>
          <w:color w:val="000000" w:themeColor="text1"/>
          <w:sz w:val="24"/>
          <w:szCs w:val="24"/>
        </w:rPr>
        <w:t>the School and Early Years Finance (England) r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egulations to the </w:t>
      </w:r>
      <w:r w:rsidR="00A4312D" w:rsidRPr="00FA03D7">
        <w:rPr>
          <w:rFonts w:ascii="Verdana" w:hAnsi="Verdana" w:cs="Arial"/>
          <w:color w:val="000000" w:themeColor="text1"/>
          <w:sz w:val="24"/>
          <w:szCs w:val="24"/>
        </w:rPr>
        <w:t>Education Funding Agency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 xml:space="preserve"> in relation to the Minimum Funding Guarantee (MFG)</w:t>
      </w:r>
      <w:r w:rsidR="00570599" w:rsidRPr="00FA03D7">
        <w:rPr>
          <w:rFonts w:ascii="Verdana" w:hAnsi="Verdana" w:cs="Arial"/>
          <w:color w:val="000000" w:themeColor="text1"/>
          <w:sz w:val="24"/>
          <w:szCs w:val="24"/>
        </w:rPr>
        <w:t xml:space="preserve">.  </w:t>
      </w:r>
      <w:r w:rsidRPr="00FA03D7">
        <w:rPr>
          <w:rFonts w:ascii="Verdana" w:hAnsi="Verdana" w:cs="Arial"/>
          <w:color w:val="000000" w:themeColor="text1"/>
          <w:sz w:val="24"/>
          <w:szCs w:val="24"/>
        </w:rPr>
        <w:t>Thi</w:t>
      </w:r>
      <w:r w:rsidR="00F53790" w:rsidRPr="00FA03D7">
        <w:rPr>
          <w:rFonts w:ascii="Verdana" w:hAnsi="Verdana" w:cs="Arial"/>
          <w:color w:val="000000" w:themeColor="text1"/>
          <w:sz w:val="24"/>
          <w:szCs w:val="24"/>
        </w:rPr>
        <w:t>s has a total impact of £1.192m</w:t>
      </w:r>
      <w:r w:rsidR="00B943B7" w:rsidRPr="00FA03D7">
        <w:rPr>
          <w:rFonts w:ascii="Verdana" w:hAnsi="Verdana" w:cs="Arial"/>
          <w:color w:val="000000" w:themeColor="text1"/>
          <w:sz w:val="24"/>
          <w:szCs w:val="24"/>
        </w:rPr>
        <w:t xml:space="preserve"> which was added to the tool with the output detailed in Table 9.</w:t>
      </w:r>
    </w:p>
    <w:p w14:paraId="2BB872E9" w14:textId="360F54FA" w:rsidR="0042732E" w:rsidRPr="00FA03D7" w:rsidRDefault="0042732E" w:rsidP="0042732E">
      <w:pPr>
        <w:pStyle w:val="ListParagraph"/>
        <w:numPr>
          <w:ilvl w:val="1"/>
          <w:numId w:val="19"/>
        </w:numPr>
        <w:spacing w:after="0" w:line="360" w:lineRule="auto"/>
        <w:ind w:left="851" w:hanging="851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 xml:space="preserve">A movement is </w:t>
      </w:r>
      <w:r w:rsidR="00704B9A" w:rsidRPr="00FA03D7">
        <w:rPr>
          <w:rFonts w:ascii="Verdana" w:hAnsi="Verdana" w:cs="Arial"/>
          <w:sz w:val="24"/>
          <w:szCs w:val="24"/>
        </w:rPr>
        <w:t>noted</w:t>
      </w:r>
      <w:r w:rsidR="00AF70C3" w:rsidRPr="00FA03D7">
        <w:rPr>
          <w:rFonts w:ascii="Verdana" w:hAnsi="Verdana" w:cs="Arial"/>
          <w:sz w:val="24"/>
          <w:szCs w:val="24"/>
        </w:rPr>
        <w:t xml:space="preserve"> from £77.1</w:t>
      </w:r>
      <w:r w:rsidR="000A08DE" w:rsidRPr="00FA03D7">
        <w:rPr>
          <w:rFonts w:ascii="Verdana" w:hAnsi="Verdana" w:cs="Arial"/>
          <w:sz w:val="24"/>
          <w:szCs w:val="24"/>
        </w:rPr>
        <w:t>m</w:t>
      </w:r>
      <w:r w:rsidRPr="00FA03D7">
        <w:rPr>
          <w:rFonts w:ascii="Verdana" w:hAnsi="Verdana" w:cs="Arial"/>
          <w:sz w:val="24"/>
          <w:szCs w:val="24"/>
        </w:rPr>
        <w:t xml:space="preserve"> to £</w:t>
      </w:r>
      <w:r w:rsidR="00E36311" w:rsidRPr="00FA03D7">
        <w:rPr>
          <w:rFonts w:ascii="Verdana" w:hAnsi="Verdana" w:cs="Arial"/>
          <w:sz w:val="24"/>
          <w:szCs w:val="24"/>
        </w:rPr>
        <w:t>7</w:t>
      </w:r>
      <w:r w:rsidR="00AF70C3" w:rsidRPr="00FA03D7">
        <w:rPr>
          <w:rFonts w:ascii="Verdana" w:hAnsi="Verdana" w:cs="Arial"/>
          <w:sz w:val="24"/>
          <w:szCs w:val="24"/>
        </w:rPr>
        <w:t>9.1</w:t>
      </w:r>
      <w:r w:rsidR="00E36311" w:rsidRPr="00FA03D7">
        <w:rPr>
          <w:rFonts w:ascii="Verdana" w:hAnsi="Verdana" w:cs="Arial"/>
          <w:sz w:val="24"/>
          <w:szCs w:val="24"/>
        </w:rPr>
        <w:t>m</w:t>
      </w:r>
      <w:r w:rsidRPr="00FA03D7">
        <w:rPr>
          <w:rFonts w:ascii="Verdana" w:hAnsi="Verdana" w:cs="Arial"/>
          <w:sz w:val="24"/>
          <w:szCs w:val="24"/>
        </w:rPr>
        <w:t xml:space="preserve"> in the basic entitlement showing the </w:t>
      </w:r>
      <w:r w:rsidR="00E36311" w:rsidRPr="00FA03D7">
        <w:rPr>
          <w:rFonts w:ascii="Verdana" w:hAnsi="Verdana" w:cs="Arial"/>
          <w:sz w:val="24"/>
          <w:szCs w:val="24"/>
        </w:rPr>
        <w:t>disapplication to the formula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Pr="00FA03D7">
        <w:rPr>
          <w:rFonts w:ascii="Verdana" w:hAnsi="Verdana" w:cs="Arial"/>
          <w:sz w:val="24"/>
          <w:szCs w:val="24"/>
        </w:rPr>
        <w:t>This has also reduc</w:t>
      </w:r>
      <w:r w:rsidR="00E36311" w:rsidRPr="00FA03D7">
        <w:rPr>
          <w:rFonts w:ascii="Verdana" w:hAnsi="Verdana" w:cs="Arial"/>
          <w:sz w:val="24"/>
          <w:szCs w:val="24"/>
        </w:rPr>
        <w:t>ed the allocation to MFG by £0.</w:t>
      </w:r>
      <w:r w:rsidR="00AF70C3" w:rsidRPr="00FA03D7">
        <w:rPr>
          <w:rFonts w:ascii="Verdana" w:hAnsi="Verdana" w:cs="Arial"/>
          <w:sz w:val="24"/>
          <w:szCs w:val="24"/>
        </w:rPr>
        <w:t>79</w:t>
      </w:r>
      <w:r w:rsidRPr="00FA03D7">
        <w:rPr>
          <w:rFonts w:ascii="Verdana" w:hAnsi="Verdana" w:cs="Arial"/>
          <w:sz w:val="24"/>
          <w:szCs w:val="24"/>
        </w:rPr>
        <w:t>m as more schools achieve the tool allocated MFG level.</w:t>
      </w:r>
      <w:r w:rsidR="00E36311" w:rsidRPr="00FA03D7">
        <w:rPr>
          <w:rFonts w:ascii="Verdana" w:hAnsi="Verdana" w:cs="Arial"/>
          <w:sz w:val="24"/>
          <w:szCs w:val="24"/>
        </w:rPr>
        <w:t xml:space="preserve"> This creates an increase to the total cost of the tool by £1.2m</w:t>
      </w:r>
    </w:p>
    <w:p w14:paraId="5E1D2065" w14:textId="77777777" w:rsidR="00AB4C6F" w:rsidRPr="00FA03D7" w:rsidRDefault="00AB4C6F" w:rsidP="00AB4C6F">
      <w:pPr>
        <w:spacing w:after="0" w:line="360" w:lineRule="auto"/>
        <w:jc w:val="both"/>
        <w:rPr>
          <w:sz w:val="24"/>
          <w:szCs w:val="24"/>
        </w:rPr>
      </w:pPr>
    </w:p>
    <w:p w14:paraId="1E70B509" w14:textId="77777777" w:rsidR="00673C44" w:rsidRPr="00FA03D7" w:rsidRDefault="00673C4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4DDD4C9" w14:textId="77777777" w:rsidR="00B47365" w:rsidRPr="00FA03D7" w:rsidRDefault="00B4736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A03D7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466B2C3A" w14:textId="37E62FDF" w:rsidR="00AF70C3" w:rsidRPr="009E1791" w:rsidRDefault="00AF70C3" w:rsidP="00AF70C3">
      <w:pPr>
        <w:tabs>
          <w:tab w:val="left" w:pos="709"/>
          <w:tab w:val="left" w:pos="993"/>
          <w:tab w:val="left" w:pos="1134"/>
        </w:tabs>
        <w:jc w:val="both"/>
        <w:rPr>
          <w:rFonts w:asciiTheme="majorHAnsi" w:hAnsiTheme="majorHAnsi" w:cstheme="majorHAnsi"/>
          <w:b/>
          <w:sz w:val="24"/>
        </w:rPr>
      </w:pPr>
      <w:r w:rsidRPr="009E1791">
        <w:rPr>
          <w:rFonts w:asciiTheme="majorHAnsi" w:hAnsiTheme="majorHAnsi" w:cstheme="majorHAnsi"/>
          <w:b/>
          <w:sz w:val="24"/>
        </w:rPr>
        <w:lastRenderedPageBreak/>
        <w:t>Table 6: Comparison of funding through Schools Block for 2016/17 to 2017/18 without disapplication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778"/>
        <w:gridCol w:w="1778"/>
        <w:gridCol w:w="1643"/>
      </w:tblGrid>
      <w:tr w:rsidR="00FE28EE" w:rsidRPr="00B14732" w14:paraId="6BA18DE8" w14:textId="77777777" w:rsidTr="001C0EA1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033CFC91" w14:textId="77777777" w:rsidR="00FE28EE" w:rsidRPr="00B14732" w:rsidRDefault="00FE28EE" w:rsidP="00FE28EE">
            <w:pPr>
              <w:spacing w:after="0" w:line="240" w:lineRule="auto"/>
              <w:ind w:left="458" w:hanging="458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147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Funding Received</w:t>
            </w:r>
          </w:p>
        </w:tc>
        <w:tc>
          <w:tcPr>
            <w:tcW w:w="986" w:type="pct"/>
            <w:shd w:val="clear" w:color="auto" w:fill="BFBFBF" w:themeFill="background1" w:themeFillShade="BF"/>
            <w:noWrap/>
            <w:vAlign w:val="bottom"/>
            <w:hideMark/>
          </w:tcPr>
          <w:p w14:paraId="55B1EB64" w14:textId="77777777" w:rsidR="00FE28EE" w:rsidRPr="00B14732" w:rsidRDefault="00FE28EE" w:rsidP="00FE2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147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2016/17</w:t>
            </w:r>
          </w:p>
          <w:p w14:paraId="25A03552" w14:textId="558A6A99" w:rsidR="00B14732" w:rsidRPr="00B14732" w:rsidRDefault="00B14732" w:rsidP="00FE2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86" w:type="pct"/>
            <w:shd w:val="clear" w:color="auto" w:fill="BFBFBF" w:themeFill="background1" w:themeFillShade="BF"/>
            <w:noWrap/>
            <w:vAlign w:val="bottom"/>
            <w:hideMark/>
          </w:tcPr>
          <w:p w14:paraId="0E2A5B0A" w14:textId="77777777" w:rsidR="00FE28EE" w:rsidRPr="00B14732" w:rsidRDefault="00FE28EE" w:rsidP="00FE2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147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2017/18</w:t>
            </w:r>
          </w:p>
          <w:p w14:paraId="09F356B8" w14:textId="0C87966B" w:rsidR="00B14732" w:rsidRPr="00B14732" w:rsidRDefault="00B14732" w:rsidP="00FE2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11" w:type="pct"/>
            <w:shd w:val="clear" w:color="auto" w:fill="BFBFBF" w:themeFill="background1" w:themeFillShade="BF"/>
            <w:noWrap/>
            <w:vAlign w:val="bottom"/>
            <w:hideMark/>
          </w:tcPr>
          <w:p w14:paraId="57527A47" w14:textId="77777777" w:rsidR="00FE28EE" w:rsidRPr="00B14732" w:rsidRDefault="00FE28EE" w:rsidP="00FE2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147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Change</w:t>
            </w:r>
          </w:p>
          <w:p w14:paraId="1229E0CB" w14:textId="742031B3" w:rsidR="00B14732" w:rsidRPr="00B14732" w:rsidRDefault="00B14732" w:rsidP="00FE2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E28EE" w:rsidRPr="00895E09" w14:paraId="01EE72D9" w14:textId="77777777" w:rsidTr="001C0EA1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2FCDE608" w14:textId="77777777" w:rsidR="00FE28EE" w:rsidRPr="00895E09" w:rsidRDefault="00B14732" w:rsidP="00FE2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SBUF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08FE985A" w14:textId="77777777" w:rsidR="00FE28EE" w:rsidRPr="00895E09" w:rsidRDefault="00FE28EE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6,019.90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2A276733" w14:textId="77777777" w:rsidR="00FE28EE" w:rsidRPr="00895E09" w:rsidRDefault="00FE28EE" w:rsidP="008208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6,003.47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4AED356" w14:textId="77777777" w:rsidR="00FE28EE" w:rsidRPr="00895E09" w:rsidRDefault="00FE28EE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-16.43</w:t>
            </w:r>
          </w:p>
        </w:tc>
      </w:tr>
      <w:tr w:rsidR="00FE28EE" w:rsidRPr="00895E09" w14:paraId="08F68174" w14:textId="77777777" w:rsidTr="001C0EA1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33B891D3" w14:textId="77777777" w:rsidR="00FE28EE" w:rsidRPr="00895E09" w:rsidRDefault="00FE28EE" w:rsidP="00FE2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Pupil Numbers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4ABF1ED3" w14:textId="77777777" w:rsidR="00FE28EE" w:rsidRPr="00895E09" w:rsidRDefault="00FE28EE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  <w:r w:rsidR="00751359" w:rsidRPr="00895E0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739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210E66F6" w14:textId="77777777" w:rsidR="00FE28EE" w:rsidRPr="00895E09" w:rsidRDefault="00FE28EE" w:rsidP="008208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  <w:r w:rsidR="00751359" w:rsidRPr="00895E0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665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090AAD5" w14:textId="77777777" w:rsidR="00FE28EE" w:rsidRPr="00895E09" w:rsidRDefault="00FE28EE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-74</w:t>
            </w:r>
          </w:p>
        </w:tc>
      </w:tr>
      <w:tr w:rsidR="00FE28EE" w:rsidRPr="00895E09" w14:paraId="0E32240E" w14:textId="77777777" w:rsidTr="001C0EA1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73D0EAF9" w14:textId="41C041DB" w:rsidR="00FE28EE" w:rsidRPr="00895E09" w:rsidRDefault="00C15BA2" w:rsidP="00FE2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 xml:space="preserve">NRA cash </w:t>
            </w:r>
            <w:proofErr w:type="spellStart"/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adj</w:t>
            </w:r>
            <w:proofErr w:type="spellEnd"/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14732" w:rsidRPr="00895E09">
              <w:rPr>
                <w:rFonts w:ascii="Arial" w:eastAsia="Times New Roman" w:hAnsi="Arial" w:cs="Arial"/>
                <w:color w:val="000000"/>
                <w:lang w:eastAsia="en-GB"/>
              </w:rPr>
              <w:t xml:space="preserve">16/17 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(£m)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30D33643" w14:textId="77777777" w:rsidR="00FE28EE" w:rsidRPr="00895E09" w:rsidRDefault="00C15BA2" w:rsidP="00C15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31D58015" w14:textId="0B55AEE2" w:rsidR="00FE28EE" w:rsidRPr="00895E09" w:rsidRDefault="00120F27" w:rsidP="008208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69F7400" w14:textId="77777777" w:rsidR="00FE28EE" w:rsidRPr="00895E09" w:rsidRDefault="00C15BA2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="00FE28EE" w:rsidRPr="00895E09">
              <w:rPr>
                <w:rFonts w:ascii="Arial" w:eastAsia="Times New Roman" w:hAnsi="Arial" w:cs="Arial"/>
                <w:color w:val="000000"/>
                <w:lang w:eastAsia="en-GB"/>
              </w:rPr>
              <w:t>0.</w:t>
            </w: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05</w:t>
            </w:r>
          </w:p>
        </w:tc>
      </w:tr>
      <w:tr w:rsidR="00FE28EE" w:rsidRPr="00895E09" w14:paraId="12E92356" w14:textId="77777777" w:rsidTr="001C0EA1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349DF0D2" w14:textId="494F98E5" w:rsidR="00FE28EE" w:rsidRPr="00895E09" w:rsidRDefault="00B14732" w:rsidP="00FE2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 xml:space="preserve">NQT 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>(£m)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2A2C89EC" w14:textId="77777777" w:rsidR="00FE28EE" w:rsidRPr="00895E09" w:rsidRDefault="00FE28EE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0.</w:t>
            </w:r>
            <w:r w:rsidR="00C15BA2" w:rsidRPr="00895E09">
              <w:rPr>
                <w:rFonts w:ascii="Arial" w:eastAsia="Times New Roman" w:hAnsi="Arial" w:cs="Arial"/>
                <w:color w:val="000000"/>
                <w:lang w:eastAsia="en-GB"/>
              </w:rPr>
              <w:t>03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09B3F037" w14:textId="77777777" w:rsidR="00FE28EE" w:rsidRPr="00895E09" w:rsidRDefault="00C15BA2" w:rsidP="008208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131A69" w14:textId="77777777" w:rsidR="00FE28EE" w:rsidRPr="00895E09" w:rsidRDefault="00FE28EE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-0.</w:t>
            </w:r>
            <w:r w:rsidR="00C15BA2" w:rsidRPr="00895E09">
              <w:rPr>
                <w:rFonts w:ascii="Arial" w:eastAsia="Times New Roman" w:hAnsi="Arial" w:cs="Arial"/>
                <w:color w:val="000000"/>
                <w:lang w:eastAsia="en-GB"/>
              </w:rPr>
              <w:t>03</w:t>
            </w:r>
          </w:p>
        </w:tc>
      </w:tr>
      <w:tr w:rsidR="00FE28EE" w:rsidRPr="00895E09" w14:paraId="240ACE28" w14:textId="77777777" w:rsidTr="001C0EA1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14FD5105" w14:textId="677387A1" w:rsidR="00FE28EE" w:rsidRPr="00895E09" w:rsidRDefault="00B14732" w:rsidP="00FE2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 xml:space="preserve">Total Schools Block 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(£m)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5519D7D3" w14:textId="77777777" w:rsidR="00FE28EE" w:rsidRPr="00895E09" w:rsidRDefault="00C15BA2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112.</w:t>
            </w:r>
            <w:r w:rsidR="00120F27" w:rsidRPr="00895E09">
              <w:rPr>
                <w:rFonts w:ascii="Arial" w:eastAsia="Times New Roman" w:hAnsi="Arial" w:cs="Arial"/>
                <w:color w:val="000000"/>
                <w:lang w:eastAsia="en-GB"/>
              </w:rPr>
              <w:t>50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5B799D88" w14:textId="77777777" w:rsidR="00FE28EE" w:rsidRPr="00895E09" w:rsidRDefault="00C15BA2" w:rsidP="008208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112.05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39D491D" w14:textId="77777777" w:rsidR="00FE28EE" w:rsidRPr="00895E09" w:rsidRDefault="00902395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-0.45</w:t>
            </w:r>
          </w:p>
        </w:tc>
      </w:tr>
      <w:tr w:rsidR="00FE28EE" w:rsidRPr="00895E09" w14:paraId="16A1AC84" w14:textId="77777777" w:rsidTr="001C0EA1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4D93883B" w14:textId="77777777" w:rsidR="00FE28EE" w:rsidRPr="00895E09" w:rsidRDefault="00FE28EE" w:rsidP="00FE2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2FDE2603" w14:textId="77777777" w:rsidR="00FE28EE" w:rsidRPr="00895E09" w:rsidRDefault="00FE28EE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78650E1D" w14:textId="77777777" w:rsidR="00FE28EE" w:rsidRPr="00895E09" w:rsidRDefault="00FE28EE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7DB643F" w14:textId="77777777" w:rsidR="00FE28EE" w:rsidRPr="00895E09" w:rsidRDefault="00FE28EE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E28EE" w:rsidRPr="00895E09" w14:paraId="27789610" w14:textId="77777777" w:rsidTr="001C0EA1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5363FF72" w14:textId="426362FD" w:rsidR="00FE28EE" w:rsidRPr="00895E09" w:rsidRDefault="00B14732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 DFE</w:t>
            </w:r>
            <w:r w:rsidR="000661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>(£m)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3E4B9ACC" w14:textId="77777777" w:rsidR="00FE28EE" w:rsidRPr="00895E09" w:rsidRDefault="00C15BA2" w:rsidP="0012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112.50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757E4A8A" w14:textId="77777777" w:rsidR="00FE28EE" w:rsidRPr="00895E09" w:rsidRDefault="00C15BA2" w:rsidP="0012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112.05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8FE8673" w14:textId="77777777" w:rsidR="00FE28EE" w:rsidRPr="00895E09" w:rsidRDefault="00902395" w:rsidP="0012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-0.45</w:t>
            </w:r>
          </w:p>
        </w:tc>
      </w:tr>
      <w:tr w:rsidR="00FE28EE" w:rsidRPr="00895E09" w14:paraId="38562F2A" w14:textId="77777777" w:rsidTr="001C0EA1">
        <w:trPr>
          <w:trHeight w:val="315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5821A4B3" w14:textId="77777777" w:rsidR="00FE28EE" w:rsidRPr="00895E09" w:rsidRDefault="00FE28EE" w:rsidP="00FE2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1DB84C68" w14:textId="77777777" w:rsidR="00FE28EE" w:rsidRPr="00895E09" w:rsidRDefault="00FE28EE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42580267" w14:textId="77777777" w:rsidR="00FE28EE" w:rsidRPr="00895E09" w:rsidRDefault="00FE28EE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5611457" w14:textId="77777777" w:rsidR="00FE28EE" w:rsidRPr="00895E09" w:rsidRDefault="00FE28EE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FE28EE" w:rsidRPr="00895E09" w14:paraId="2CB71D0F" w14:textId="77777777" w:rsidTr="001C0EA1">
        <w:trPr>
          <w:trHeight w:val="315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5D5C24C4" w14:textId="0A60BD2D" w:rsidR="00FE28EE" w:rsidRPr="00895E09" w:rsidRDefault="00B14732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APT</w:t>
            </w:r>
            <w:r w:rsidR="000661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>(£m)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32FB4A1F" w14:textId="2FAF7EB7" w:rsidR="00FE28EE" w:rsidRPr="00895E09" w:rsidRDefault="003C4B48" w:rsidP="0012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111.3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6D5755B6" w14:textId="412A71C2" w:rsidR="00FE28EE" w:rsidRPr="00895E09" w:rsidRDefault="00C15BA2" w:rsidP="0012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109</w:t>
            </w:r>
            <w:r w:rsidR="003C4B4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.2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A8007C6" w14:textId="012A03C7" w:rsidR="00FE28EE" w:rsidRPr="00895E09" w:rsidRDefault="003C4B48" w:rsidP="003C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-2.1</w:t>
            </w:r>
          </w:p>
        </w:tc>
      </w:tr>
      <w:tr w:rsidR="00FE28EE" w:rsidRPr="00895E09" w14:paraId="7F900409" w14:textId="77777777" w:rsidTr="001C0EA1">
        <w:trPr>
          <w:trHeight w:val="315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07E29208" w14:textId="5E0D96B6" w:rsidR="00FE28EE" w:rsidRPr="00895E09" w:rsidRDefault="00C15BA2" w:rsidP="00FE2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Centrally managed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(£m)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1A08FE9F" w14:textId="77777777" w:rsidR="00FE28EE" w:rsidRPr="00895E09" w:rsidRDefault="00C15BA2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661CD8B3" w14:textId="5E1F0F50" w:rsidR="00FE28EE" w:rsidRPr="00895E09" w:rsidRDefault="003C4B48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>.3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7BB23B0B" w14:textId="77777777" w:rsidR="00FE28EE" w:rsidRPr="00895E09" w:rsidRDefault="00C15BA2" w:rsidP="00FE2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E28EE" w:rsidRPr="00895E09" w14:paraId="6E0F2E95" w14:textId="77777777" w:rsidTr="001C0EA1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52F7D4F7" w14:textId="3F217691" w:rsidR="00FE28EE" w:rsidRPr="00895E09" w:rsidRDefault="00C15BA2" w:rsidP="00FE2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Maintained ESG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(£m)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08B1DFC6" w14:textId="77777777" w:rsidR="00FE28EE" w:rsidRPr="00895E09" w:rsidRDefault="00FE28EE" w:rsidP="00FE2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2AE272D1" w14:textId="1ED53176" w:rsidR="00FE28EE" w:rsidRPr="00895E09" w:rsidRDefault="00066177" w:rsidP="00622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0.3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C5B8521" w14:textId="77777777" w:rsidR="00FE28EE" w:rsidRPr="00895E09" w:rsidRDefault="00FE28EE" w:rsidP="00FE2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42D6" w:rsidRPr="00895E09" w14:paraId="5095964C" w14:textId="77777777" w:rsidTr="001C0EA1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</w:tcPr>
          <w:p w14:paraId="577B0409" w14:textId="49A41F04" w:rsidR="004A42D6" w:rsidRPr="00895E09" w:rsidRDefault="00C15BA2" w:rsidP="00FE2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Balance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(£m)</w:t>
            </w:r>
          </w:p>
        </w:tc>
        <w:tc>
          <w:tcPr>
            <w:tcW w:w="986" w:type="pct"/>
            <w:shd w:val="clear" w:color="auto" w:fill="auto"/>
            <w:noWrap/>
            <w:vAlign w:val="bottom"/>
          </w:tcPr>
          <w:p w14:paraId="2556BB7E" w14:textId="77777777" w:rsidR="004A42D6" w:rsidRPr="00895E09" w:rsidRDefault="004A42D6" w:rsidP="00FE2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</w:tcPr>
          <w:p w14:paraId="0B638BAC" w14:textId="654D6D0A" w:rsidR="004A42D6" w:rsidRPr="00895E09" w:rsidRDefault="00066177" w:rsidP="00622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1.2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04F1F01F" w14:textId="77777777" w:rsidR="004A42D6" w:rsidRPr="00895E09" w:rsidRDefault="004A42D6" w:rsidP="00FE2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5B3D4ED" w14:textId="77AB7E5F" w:rsidR="00024ADF" w:rsidRDefault="00024ADF" w:rsidP="00024ADF">
      <w:pPr>
        <w:tabs>
          <w:tab w:val="left" w:pos="709"/>
          <w:tab w:val="left" w:pos="993"/>
          <w:tab w:val="left" w:pos="1134"/>
        </w:tabs>
        <w:ind w:left="993"/>
        <w:jc w:val="both"/>
        <w:rPr>
          <w:rFonts w:ascii="Verdana" w:hAnsi="Verdana" w:cs="Arial"/>
          <w:sz w:val="24"/>
          <w:szCs w:val="24"/>
        </w:rPr>
      </w:pPr>
    </w:p>
    <w:p w14:paraId="091BE918" w14:textId="77777777" w:rsidR="009E1791" w:rsidRPr="00895E09" w:rsidRDefault="009E1791" w:rsidP="00024ADF">
      <w:pPr>
        <w:tabs>
          <w:tab w:val="left" w:pos="709"/>
          <w:tab w:val="left" w:pos="993"/>
          <w:tab w:val="left" w:pos="1134"/>
        </w:tabs>
        <w:ind w:left="993"/>
        <w:jc w:val="both"/>
        <w:rPr>
          <w:rFonts w:ascii="Verdana" w:hAnsi="Verdana" w:cs="Arial"/>
          <w:sz w:val="24"/>
          <w:szCs w:val="24"/>
        </w:rPr>
      </w:pPr>
    </w:p>
    <w:p w14:paraId="350CAEE7" w14:textId="1B46D503" w:rsidR="00AF70C3" w:rsidRPr="009E1791" w:rsidRDefault="00AF70C3" w:rsidP="00AF70C3">
      <w:pPr>
        <w:tabs>
          <w:tab w:val="left" w:pos="709"/>
          <w:tab w:val="left" w:pos="993"/>
          <w:tab w:val="left" w:pos="1134"/>
        </w:tabs>
        <w:jc w:val="both"/>
        <w:rPr>
          <w:rFonts w:asciiTheme="majorHAnsi" w:hAnsiTheme="majorHAnsi" w:cstheme="majorHAnsi"/>
          <w:b/>
          <w:sz w:val="24"/>
        </w:rPr>
      </w:pPr>
      <w:r w:rsidRPr="009E1791">
        <w:rPr>
          <w:rFonts w:asciiTheme="majorHAnsi" w:hAnsiTheme="majorHAnsi" w:cstheme="majorHAnsi"/>
          <w:b/>
          <w:sz w:val="24"/>
        </w:rPr>
        <w:t>Table 7: Comparison of funding through Schools Block for 2016/17 to 2017/18 with disapplication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778"/>
        <w:gridCol w:w="1778"/>
        <w:gridCol w:w="1643"/>
      </w:tblGrid>
      <w:tr w:rsidR="00773252" w:rsidRPr="00895E09" w14:paraId="613B73DA" w14:textId="77777777" w:rsidTr="00A61FDE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4639B4CD" w14:textId="77777777" w:rsidR="00773252" w:rsidRPr="00895E09" w:rsidRDefault="00773252" w:rsidP="00A61FDE">
            <w:pPr>
              <w:spacing w:after="0" w:line="240" w:lineRule="auto"/>
              <w:ind w:left="458" w:hanging="458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Funding Received</w:t>
            </w:r>
          </w:p>
        </w:tc>
        <w:tc>
          <w:tcPr>
            <w:tcW w:w="986" w:type="pct"/>
            <w:shd w:val="clear" w:color="auto" w:fill="BFBFBF" w:themeFill="background1" w:themeFillShade="BF"/>
            <w:noWrap/>
            <w:vAlign w:val="bottom"/>
            <w:hideMark/>
          </w:tcPr>
          <w:p w14:paraId="2ED9FCE8" w14:textId="77777777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2016/17</w:t>
            </w:r>
          </w:p>
          <w:p w14:paraId="7BC8215A" w14:textId="77777777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(£m)</w:t>
            </w:r>
          </w:p>
        </w:tc>
        <w:tc>
          <w:tcPr>
            <w:tcW w:w="986" w:type="pct"/>
            <w:shd w:val="clear" w:color="auto" w:fill="BFBFBF" w:themeFill="background1" w:themeFillShade="BF"/>
            <w:noWrap/>
            <w:vAlign w:val="bottom"/>
            <w:hideMark/>
          </w:tcPr>
          <w:p w14:paraId="47B46811" w14:textId="77777777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2017/18</w:t>
            </w:r>
          </w:p>
          <w:p w14:paraId="6F091D14" w14:textId="77777777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(£m)</w:t>
            </w:r>
          </w:p>
        </w:tc>
        <w:tc>
          <w:tcPr>
            <w:tcW w:w="911" w:type="pct"/>
            <w:shd w:val="clear" w:color="auto" w:fill="BFBFBF" w:themeFill="background1" w:themeFillShade="BF"/>
            <w:noWrap/>
            <w:vAlign w:val="bottom"/>
            <w:hideMark/>
          </w:tcPr>
          <w:p w14:paraId="4BAD7E5A" w14:textId="77777777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Change</w:t>
            </w:r>
          </w:p>
          <w:p w14:paraId="59D526B9" w14:textId="77777777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(£m)</w:t>
            </w:r>
          </w:p>
        </w:tc>
      </w:tr>
      <w:tr w:rsidR="00773252" w:rsidRPr="00895E09" w14:paraId="7B0536A1" w14:textId="77777777" w:rsidTr="00A61FDE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40D85A92" w14:textId="77777777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SBUF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47176DDA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6,019.90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68DE23BA" w14:textId="77777777" w:rsidR="00773252" w:rsidRPr="00895E09" w:rsidRDefault="00773252" w:rsidP="00AF7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6,003.47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2D0D871D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-16.43</w:t>
            </w:r>
          </w:p>
        </w:tc>
      </w:tr>
      <w:tr w:rsidR="00773252" w:rsidRPr="00895E09" w14:paraId="3D94C14D" w14:textId="77777777" w:rsidTr="00A61FDE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120DA930" w14:textId="77777777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Pupil Numbers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31206317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18,739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42863C3A" w14:textId="77777777" w:rsidR="00773252" w:rsidRPr="00895E09" w:rsidRDefault="00773252" w:rsidP="00AF7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18,665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2C152DD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-74</w:t>
            </w:r>
          </w:p>
        </w:tc>
      </w:tr>
      <w:tr w:rsidR="00773252" w:rsidRPr="00895E09" w14:paraId="13FE4CA9" w14:textId="77777777" w:rsidTr="00A61FDE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0EC878B9" w14:textId="23EBA26E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 xml:space="preserve">NRA cash </w:t>
            </w:r>
            <w:proofErr w:type="spellStart"/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adj</w:t>
            </w:r>
            <w:proofErr w:type="spellEnd"/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 xml:space="preserve"> 16/17 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>(£m)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3BCC0B34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1DD693FF" w14:textId="3794124A" w:rsidR="00773252" w:rsidRPr="00895E09" w:rsidRDefault="00773252" w:rsidP="00AF7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4BF869C3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-0.05</w:t>
            </w:r>
          </w:p>
        </w:tc>
      </w:tr>
      <w:tr w:rsidR="00773252" w:rsidRPr="00895E09" w14:paraId="46B676F8" w14:textId="77777777" w:rsidTr="00A61FDE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1DCFBBAD" w14:textId="354D5678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 xml:space="preserve">NQT 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>(£m)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455F8BE0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7D85FAC5" w14:textId="09E5DB80" w:rsidR="00773252" w:rsidRPr="00895E09" w:rsidRDefault="00773252" w:rsidP="00AF7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7F25513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-0.03</w:t>
            </w:r>
          </w:p>
        </w:tc>
      </w:tr>
      <w:tr w:rsidR="00773252" w:rsidRPr="00895E09" w14:paraId="78A1E7D4" w14:textId="77777777" w:rsidTr="00A61FDE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60FEE35B" w14:textId="6950F218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 xml:space="preserve">Total Schools Block 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>(£m)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2D64FD0A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112.50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164C4074" w14:textId="77777777" w:rsidR="00773252" w:rsidRPr="00895E09" w:rsidRDefault="00773252" w:rsidP="00AF70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112.05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515120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-0.45</w:t>
            </w:r>
          </w:p>
        </w:tc>
      </w:tr>
      <w:tr w:rsidR="00773252" w:rsidRPr="00895E09" w14:paraId="5B207580" w14:textId="77777777" w:rsidTr="00A61FDE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76479A7C" w14:textId="77777777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33FE8B99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473E2C7F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373DDBA7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73252" w:rsidRPr="00895E09" w14:paraId="789790F1" w14:textId="77777777" w:rsidTr="00A61FDE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0748958E" w14:textId="48A4DE4F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 DFE</w:t>
            </w:r>
            <w:r w:rsidR="000661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>(£m)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069E2B33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112.50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7CEC095B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112.05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062FF35B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-0.45</w:t>
            </w:r>
          </w:p>
        </w:tc>
      </w:tr>
      <w:tr w:rsidR="00773252" w:rsidRPr="00895E09" w14:paraId="390420F6" w14:textId="77777777" w:rsidTr="00A61FDE">
        <w:trPr>
          <w:trHeight w:val="315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69A0782A" w14:textId="77777777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4C2EE4F5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3E1274F4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651D8855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773252" w:rsidRPr="00895E09" w14:paraId="09482960" w14:textId="77777777" w:rsidTr="00A61FDE">
        <w:trPr>
          <w:trHeight w:val="315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6E714F69" w14:textId="569846E0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APT</w:t>
            </w:r>
            <w:r w:rsidR="000661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>(£m)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0C006B61" w14:textId="648AC3E7" w:rsidR="00773252" w:rsidRPr="00895E09" w:rsidRDefault="003C4B48" w:rsidP="00A6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111.3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07242203" w14:textId="2EFD91B5" w:rsidR="00773252" w:rsidRPr="00895E09" w:rsidRDefault="00AF70C3" w:rsidP="003C4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110.</w:t>
            </w:r>
            <w:r w:rsidR="003C4B4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039824B" w14:textId="57C0E7B3" w:rsidR="00773252" w:rsidRPr="00895E09" w:rsidRDefault="00773252" w:rsidP="00A6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95E0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-</w:t>
            </w:r>
            <w:r w:rsidR="003C4B4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1.8</w:t>
            </w:r>
          </w:p>
        </w:tc>
      </w:tr>
      <w:tr w:rsidR="00773252" w:rsidRPr="00895E09" w14:paraId="6018A9F5" w14:textId="77777777" w:rsidTr="00A61FDE">
        <w:trPr>
          <w:trHeight w:val="315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30680F35" w14:textId="7B3AF626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Centrally managed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(£m)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231C3B19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0D13F591" w14:textId="197450A6" w:rsidR="00773252" w:rsidRPr="00895E09" w:rsidRDefault="003C4B48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CD5AF9">
              <w:rPr>
                <w:rFonts w:ascii="Arial" w:eastAsia="Times New Roman" w:hAnsi="Arial" w:cs="Arial"/>
                <w:color w:val="000000"/>
                <w:lang w:eastAsia="en-GB"/>
              </w:rPr>
              <w:t>.3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51C07A17" w14:textId="77777777" w:rsidR="00773252" w:rsidRPr="00895E09" w:rsidRDefault="00773252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73252" w:rsidRPr="00895E09" w14:paraId="0706299C" w14:textId="77777777" w:rsidTr="00A61FDE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  <w:hideMark/>
          </w:tcPr>
          <w:p w14:paraId="2D3D0189" w14:textId="17207C37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Maintained ESG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(£m)</w:t>
            </w: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18709CF8" w14:textId="77777777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  <w:hideMark/>
          </w:tcPr>
          <w:p w14:paraId="3342926A" w14:textId="37668CAD" w:rsidR="00773252" w:rsidRPr="00895E09" w:rsidRDefault="00CD5AF9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0.3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14:paraId="1BF7A874" w14:textId="77777777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73252" w:rsidRPr="00B14732" w14:paraId="5B13394F" w14:textId="77777777" w:rsidTr="00A61FDE">
        <w:trPr>
          <w:trHeight w:val="300"/>
        </w:trPr>
        <w:tc>
          <w:tcPr>
            <w:tcW w:w="2117" w:type="pct"/>
            <w:shd w:val="clear" w:color="auto" w:fill="BFBFBF" w:themeFill="background1" w:themeFillShade="BF"/>
            <w:noWrap/>
            <w:vAlign w:val="bottom"/>
          </w:tcPr>
          <w:p w14:paraId="1276F362" w14:textId="61977D0A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Balance</w:t>
            </w:r>
            <w:r w:rsidR="000661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(£m)</w:t>
            </w:r>
          </w:p>
        </w:tc>
        <w:tc>
          <w:tcPr>
            <w:tcW w:w="986" w:type="pct"/>
            <w:shd w:val="clear" w:color="auto" w:fill="auto"/>
            <w:noWrap/>
            <w:vAlign w:val="bottom"/>
          </w:tcPr>
          <w:p w14:paraId="7863A26E" w14:textId="77777777" w:rsidR="00773252" w:rsidRPr="00895E09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6" w:type="pct"/>
            <w:shd w:val="clear" w:color="auto" w:fill="auto"/>
            <w:noWrap/>
            <w:vAlign w:val="bottom"/>
          </w:tcPr>
          <w:p w14:paraId="215B6022" w14:textId="56CD8A2F" w:rsidR="00773252" w:rsidRPr="00895E09" w:rsidRDefault="00AF70C3" w:rsidP="00A61F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5E09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14:paraId="4983A9BB" w14:textId="77777777" w:rsidR="00773252" w:rsidRPr="00B14732" w:rsidRDefault="00773252" w:rsidP="00A61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EFC507B" w14:textId="77777777" w:rsidR="007C7095" w:rsidRDefault="007C7095" w:rsidP="00024ADF">
      <w:pPr>
        <w:tabs>
          <w:tab w:val="left" w:pos="709"/>
          <w:tab w:val="left" w:pos="993"/>
          <w:tab w:val="left" w:pos="1134"/>
        </w:tabs>
        <w:ind w:left="993"/>
        <w:jc w:val="both"/>
        <w:rPr>
          <w:rFonts w:ascii="Verdana" w:hAnsi="Verdana" w:cs="Arial"/>
          <w:sz w:val="24"/>
          <w:szCs w:val="24"/>
        </w:rPr>
      </w:pPr>
    </w:p>
    <w:p w14:paraId="20A843FF" w14:textId="77777777" w:rsidR="007C7095" w:rsidRDefault="007C7095" w:rsidP="00024ADF">
      <w:pPr>
        <w:tabs>
          <w:tab w:val="left" w:pos="709"/>
          <w:tab w:val="left" w:pos="993"/>
          <w:tab w:val="left" w:pos="1134"/>
        </w:tabs>
        <w:ind w:left="993"/>
        <w:jc w:val="both"/>
        <w:rPr>
          <w:rFonts w:ascii="Verdana" w:hAnsi="Verdana" w:cs="Arial"/>
          <w:sz w:val="24"/>
          <w:szCs w:val="24"/>
        </w:rPr>
      </w:pPr>
    </w:p>
    <w:p w14:paraId="724541C9" w14:textId="77777777" w:rsidR="003B0F8F" w:rsidRDefault="003B0F8F">
      <w:pPr>
        <w:spacing w:after="0" w:line="240" w:lineRule="auto"/>
        <w:rPr>
          <w:rFonts w:asciiTheme="majorHAnsi" w:hAnsiTheme="majorHAnsi" w:cstheme="majorHAnsi"/>
          <w:b/>
          <w:color w:val="FF0000"/>
          <w:szCs w:val="24"/>
        </w:rPr>
      </w:pPr>
      <w:r>
        <w:rPr>
          <w:rFonts w:asciiTheme="majorHAnsi" w:hAnsiTheme="majorHAnsi" w:cstheme="majorHAnsi"/>
          <w:b/>
          <w:color w:val="FF0000"/>
          <w:szCs w:val="24"/>
        </w:rPr>
        <w:br w:type="page"/>
      </w:r>
    </w:p>
    <w:p w14:paraId="65F9A60B" w14:textId="7632E4A2" w:rsidR="005B5F3F" w:rsidRPr="009E1791" w:rsidRDefault="00AF70C3" w:rsidP="00C9382C">
      <w:pPr>
        <w:tabs>
          <w:tab w:val="left" w:pos="709"/>
          <w:tab w:val="left" w:pos="993"/>
          <w:tab w:val="left" w:pos="1134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 w:rsidRPr="009E1791">
        <w:rPr>
          <w:rFonts w:asciiTheme="majorHAnsi" w:hAnsiTheme="majorHAnsi" w:cstheme="majorHAnsi"/>
          <w:b/>
          <w:sz w:val="24"/>
          <w:szCs w:val="24"/>
        </w:rPr>
        <w:lastRenderedPageBreak/>
        <w:t xml:space="preserve">Table 8: </w:t>
      </w:r>
      <w:r w:rsidR="00C15BA2" w:rsidRPr="009E1791">
        <w:rPr>
          <w:rFonts w:asciiTheme="majorHAnsi" w:hAnsiTheme="majorHAnsi" w:cstheme="majorHAnsi"/>
          <w:b/>
          <w:sz w:val="24"/>
          <w:szCs w:val="24"/>
        </w:rPr>
        <w:t xml:space="preserve"> Apportionment of funding by factors without disapplication</w:t>
      </w:r>
      <w:r w:rsidR="00863DC7" w:rsidRPr="009E179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039"/>
        <w:gridCol w:w="2039"/>
        <w:gridCol w:w="1764"/>
      </w:tblGrid>
      <w:tr w:rsidR="00024ADF" w:rsidRPr="00C9382C" w14:paraId="5C1F1E95" w14:textId="77777777" w:rsidTr="001C0EA1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3563CEBC" w14:textId="77777777" w:rsidR="00024ADF" w:rsidRPr="00C9382C" w:rsidRDefault="00024ADF" w:rsidP="000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0" w:type="pct"/>
            <w:gridSpan w:val="3"/>
            <w:shd w:val="clear" w:color="auto" w:fill="BFBFBF" w:themeFill="background1" w:themeFillShade="BF"/>
            <w:noWrap/>
            <w:vAlign w:val="bottom"/>
            <w:hideMark/>
          </w:tcPr>
          <w:p w14:paraId="50FEDADD" w14:textId="0424AF79" w:rsidR="00024ADF" w:rsidRPr="00C9382C" w:rsidRDefault="00024ADF" w:rsidP="0002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Values </w:t>
            </w:r>
            <w:r w:rsidR="00EF46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(£)</w:t>
            </w:r>
          </w:p>
        </w:tc>
      </w:tr>
      <w:tr w:rsidR="007C7095" w:rsidRPr="00C9382C" w14:paraId="3D61350A" w14:textId="77777777" w:rsidTr="001C0EA1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30E53337" w14:textId="77777777" w:rsidR="00024ADF" w:rsidRPr="0073670D" w:rsidRDefault="00024ADF" w:rsidP="0002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BFBFBF" w:themeFill="background1" w:themeFillShade="BF"/>
            <w:noWrap/>
            <w:vAlign w:val="bottom"/>
            <w:hideMark/>
          </w:tcPr>
          <w:p w14:paraId="63EA8CD6" w14:textId="77777777" w:rsidR="00024ADF" w:rsidRPr="00C9382C" w:rsidRDefault="00024ADF" w:rsidP="00024A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2016/17 </w:t>
            </w:r>
          </w:p>
        </w:tc>
        <w:tc>
          <w:tcPr>
            <w:tcW w:w="1131" w:type="pct"/>
            <w:shd w:val="clear" w:color="auto" w:fill="BFBFBF" w:themeFill="background1" w:themeFillShade="BF"/>
            <w:noWrap/>
            <w:vAlign w:val="bottom"/>
            <w:hideMark/>
          </w:tcPr>
          <w:p w14:paraId="3829CF00" w14:textId="77777777" w:rsidR="00024ADF" w:rsidRPr="00C9382C" w:rsidRDefault="00024ADF" w:rsidP="00024A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2017/18 </w:t>
            </w:r>
          </w:p>
        </w:tc>
        <w:tc>
          <w:tcPr>
            <w:tcW w:w="978" w:type="pct"/>
            <w:shd w:val="clear" w:color="auto" w:fill="BFBFBF" w:themeFill="background1" w:themeFillShade="BF"/>
            <w:noWrap/>
            <w:vAlign w:val="bottom"/>
            <w:hideMark/>
          </w:tcPr>
          <w:p w14:paraId="36F70400" w14:textId="77777777" w:rsidR="00024ADF" w:rsidRPr="00C9382C" w:rsidRDefault="00024ADF" w:rsidP="00024A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Movement </w:t>
            </w:r>
          </w:p>
        </w:tc>
      </w:tr>
      <w:tr w:rsidR="00024ADF" w:rsidRPr="00C9382C" w14:paraId="08846705" w14:textId="77777777" w:rsidTr="001C0EA1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553C8D95" w14:textId="77777777" w:rsidR="00024ADF" w:rsidRPr="0073670D" w:rsidRDefault="00024ADF" w:rsidP="00024A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DSG Schools Block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0F107BE0" w14:textId="7C411295" w:rsidR="00024ADF" w:rsidRPr="00C9382C" w:rsidRDefault="00595188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112,499,077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066D05B0" w14:textId="1ECA7B78" w:rsidR="00024ADF" w:rsidRPr="00C9382C" w:rsidRDefault="00024ADF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112,054,820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14:paraId="1F7FE517" w14:textId="58EF7DEA" w:rsidR="00024ADF" w:rsidRPr="00C9382C" w:rsidRDefault="00024ADF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        </w:t>
            </w:r>
            <w:r w:rsidR="00D17904"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444,257</w:t>
            </w:r>
          </w:p>
        </w:tc>
      </w:tr>
      <w:tr w:rsidR="00024ADF" w:rsidRPr="00C9382C" w14:paraId="1FB337FD" w14:textId="77777777" w:rsidTr="001C0EA1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5A70DF1D" w14:textId="77777777" w:rsidR="00024ADF" w:rsidRPr="0073670D" w:rsidRDefault="00024ADF" w:rsidP="00024A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372C537F" w14:textId="77777777" w:rsidR="00024ADF" w:rsidRPr="00C9382C" w:rsidRDefault="00024ADF" w:rsidP="005A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3A8C018F" w14:textId="77777777" w:rsidR="00024ADF" w:rsidRPr="00C9382C" w:rsidRDefault="00024ADF" w:rsidP="0077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14:paraId="28249D4C" w14:textId="77777777" w:rsidR="00024ADF" w:rsidRPr="00C9382C" w:rsidRDefault="00024ADF" w:rsidP="0077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3252" w:rsidRPr="00C9382C" w14:paraId="5E2230AD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3977B469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Primary (Years R-06)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4050EF45" w14:textId="3BCB4002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36,621,667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7BF7FCB5" w14:textId="7E8C7E89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51D0">
              <w:t>35,342,394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73A6B95E" w14:textId="6EDF4846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51D0">
              <w:t>-1,279,273</w:t>
            </w:r>
          </w:p>
        </w:tc>
      </w:tr>
      <w:tr w:rsidR="00773252" w:rsidRPr="00C9382C" w14:paraId="1C099C01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60B23B7B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Stage 3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30A0C755" w14:textId="2137D34F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24,748,112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230BE611" w14:textId="0C9C0AA3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51D0">
              <w:t>25,024,448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1A85DA04" w14:textId="0A74F009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51D0">
              <w:t>276,336</w:t>
            </w:r>
          </w:p>
        </w:tc>
      </w:tr>
      <w:tr w:rsidR="00773252" w:rsidRPr="00C9382C" w14:paraId="3A1EA70A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37B28FF5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Stage 4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58496951" w14:textId="543CED2B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17,114,970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135A34ED" w14:textId="2237041A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51D0">
              <w:t>16,703,710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06AD1C2D" w14:textId="33A516BD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51D0">
              <w:t>-411,260</w:t>
            </w:r>
          </w:p>
        </w:tc>
      </w:tr>
      <w:tr w:rsidR="00773252" w:rsidRPr="00C9382C" w14:paraId="492A0AC8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44FB096B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Total Basic Entitlement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6DA51F17" w14:textId="41764481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78,484,749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72A6B1A9" w14:textId="6B121DD8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51D0">
              <w:t>77,070,552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7FFA876B" w14:textId="310FE6C6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51D0">
              <w:t>-1,414,197</w:t>
            </w:r>
          </w:p>
        </w:tc>
      </w:tr>
      <w:tr w:rsidR="00024ADF" w:rsidRPr="00C9382C" w14:paraId="499DC159" w14:textId="77777777" w:rsidTr="001C0EA1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6CEC7EAF" w14:textId="77777777" w:rsidR="00024ADF" w:rsidRPr="0073670D" w:rsidRDefault="00024ADF" w:rsidP="00024A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Reception Difference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47C4EC38" w14:textId="712ED5F6" w:rsidR="00024ADF" w:rsidRPr="00C9382C" w:rsidRDefault="00024ADF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68A708DE" w14:textId="4A1504C8" w:rsidR="00024ADF" w:rsidRPr="00C9382C" w:rsidRDefault="00024ADF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14:paraId="6B0C1565" w14:textId="01F1C96C" w:rsidR="00024ADF" w:rsidRPr="00C9382C" w:rsidRDefault="00024ADF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024ADF" w:rsidRPr="00C9382C" w14:paraId="13F87090" w14:textId="77777777" w:rsidTr="001C0EA1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440F3E56" w14:textId="77777777" w:rsidR="00024ADF" w:rsidRPr="0073670D" w:rsidRDefault="00024ADF" w:rsidP="00024A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17D73C44" w14:textId="77777777" w:rsidR="00024ADF" w:rsidRPr="00C9382C" w:rsidRDefault="00024ADF" w:rsidP="005A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372FBA12" w14:textId="77777777" w:rsidR="00024ADF" w:rsidRPr="00C9382C" w:rsidRDefault="00024ADF" w:rsidP="0077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14:paraId="3D021550" w14:textId="3BF573BC" w:rsidR="00024ADF" w:rsidRPr="00C9382C" w:rsidRDefault="00024ADF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773252" w:rsidRPr="00C9382C" w14:paraId="414CFD07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3D02F744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Primary FSM6 Units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35D4B2F6" w14:textId="3E8D1ECA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4,769,469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3BE2573E" w14:textId="24875FE4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4,379,116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7539B120" w14:textId="78767B60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-390,353</w:t>
            </w:r>
          </w:p>
        </w:tc>
      </w:tr>
      <w:tr w:rsidR="00773252" w:rsidRPr="00C9382C" w14:paraId="37DCAAFB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4193DEAB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Secondary FSM6 Units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60D219E4" w14:textId="0E82CAED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5,741,050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77381C83" w14:textId="57877B37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5,531,507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3EAAC1E1" w14:textId="038ED882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-209,543</w:t>
            </w:r>
          </w:p>
        </w:tc>
      </w:tr>
      <w:tr w:rsidR="00773252" w:rsidRPr="00C9382C" w14:paraId="4E49B883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27983BA6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IDACI Units Band 4/C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16350854" w14:textId="4D55D191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35,546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0B8D3AC3" w14:textId="234F4FF5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16,922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4413FFD0" w14:textId="34BB1D8E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-18,624</w:t>
            </w:r>
          </w:p>
        </w:tc>
      </w:tr>
      <w:tr w:rsidR="00773252" w:rsidRPr="00C9382C" w14:paraId="5A1F911D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7D384D48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IDACI Units Band 5/B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73F9BF3C" w14:textId="1AB29E00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20,160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4F2A5935" w14:textId="358DEB57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70,937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26AD1C33" w14:textId="7174B47B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50,777</w:t>
            </w:r>
          </w:p>
        </w:tc>
      </w:tr>
      <w:tr w:rsidR="00773252" w:rsidRPr="00C9382C" w14:paraId="690FA28E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080EF568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IDACI Units Band 6/A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40E95186" w14:textId="08D8E77F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8,231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51E96B1A" w14:textId="2A08997D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37,871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02BEB418" w14:textId="23FE6678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29,640</w:t>
            </w:r>
          </w:p>
        </w:tc>
      </w:tr>
      <w:tr w:rsidR="00773252" w:rsidRPr="00C9382C" w14:paraId="16164872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17DC1761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EAL3 Units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71799D08" w14:textId="17E136BF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4,177,990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618A2FF8" w14:textId="363A53A9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3,834,832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0D5F24DF" w14:textId="76A85B6C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-343,158</w:t>
            </w:r>
          </w:p>
        </w:tc>
      </w:tr>
      <w:tr w:rsidR="00773252" w:rsidRPr="00C9382C" w14:paraId="6489E618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6FE5F130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LAC X Units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6362ABFB" w14:textId="6BD44B85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40,493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5B6CAB9A" w14:textId="255AB1A4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40,678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7300109A" w14:textId="5802CEE3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185</w:t>
            </w:r>
          </w:p>
        </w:tc>
      </w:tr>
      <w:tr w:rsidR="00773252" w:rsidRPr="00C9382C" w14:paraId="4D67B71F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194D1431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 Attainment Primary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3D0C5DBD" w14:textId="33901808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2,681,246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1E74EF82" w14:textId="4EE9BFAC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2,509,139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07150B86" w14:textId="786AF8D5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-172,107</w:t>
            </w:r>
          </w:p>
        </w:tc>
      </w:tr>
      <w:tr w:rsidR="00773252" w:rsidRPr="00C9382C" w14:paraId="3C64C70F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1EE8F6E2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Low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Attainment </w:t>
            </w: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6A53EEAD" w14:textId="46EFF2B6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2,748,478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30F853FE" w14:textId="2EB98780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2,662,584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41BAF564" w14:textId="1E900794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-85,894</w:t>
            </w:r>
          </w:p>
        </w:tc>
      </w:tr>
      <w:tr w:rsidR="00773252" w:rsidRPr="00C9382C" w14:paraId="32D016E2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01355A1A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Mobility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76CE4E24" w14:textId="52E6B3C1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253,438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6398ABD8" w14:textId="32F50659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211,385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73057115" w14:textId="7D016476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-42,053</w:t>
            </w:r>
          </w:p>
        </w:tc>
      </w:tr>
      <w:tr w:rsidR="00773252" w:rsidRPr="00C9382C" w14:paraId="5C0476C3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740AB770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Lump Sums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5A2C2DA3" w14:textId="231EFBBA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9,100,000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6BDF9A0F" w14:textId="4C5CB863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9,100,000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7C26151A" w14:textId="40296366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-</w:t>
            </w:r>
          </w:p>
        </w:tc>
      </w:tr>
      <w:tr w:rsidR="00773252" w:rsidRPr="00C9382C" w14:paraId="1D33F3E4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324CFB78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Split Sites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4E580242" w14:textId="3B19E02A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221,200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215B8BC0" w14:textId="6A65B641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212,700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500CFC32" w14:textId="5B0DBE5E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-8,500</w:t>
            </w:r>
          </w:p>
        </w:tc>
      </w:tr>
      <w:tr w:rsidR="00773252" w:rsidRPr="00C9382C" w14:paraId="1E7A97FD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6D20309E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NNDR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06F5FF7C" w14:textId="67D27D2B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751,711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2656E2AF" w14:textId="5AD5E1F1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1,127,200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6E43149C" w14:textId="57CB3B4F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5684">
              <w:t>375,489</w:t>
            </w:r>
          </w:p>
        </w:tc>
      </w:tr>
      <w:tr w:rsidR="00024ADF" w:rsidRPr="00C9382C" w14:paraId="7826FBD6" w14:textId="77777777" w:rsidTr="001C0EA1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60258D5D" w14:textId="77777777" w:rsidR="00024ADF" w:rsidRPr="0073670D" w:rsidRDefault="00024ADF" w:rsidP="00024A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1BAD1B6E" w14:textId="77777777" w:rsidR="00024ADF" w:rsidRPr="00C9382C" w:rsidRDefault="00024ADF" w:rsidP="005A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5B01FAFD" w14:textId="77777777" w:rsidR="00024ADF" w:rsidRPr="00C9382C" w:rsidRDefault="00024ADF" w:rsidP="0077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14:paraId="7606A64E" w14:textId="77777777" w:rsidR="00024ADF" w:rsidRPr="00C9382C" w:rsidRDefault="00024ADF" w:rsidP="0077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3252" w:rsidRPr="00C9382C" w14:paraId="23BAB1B4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0A984A8A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MFG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0F70451C" w14:textId="0030F21B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2,281,088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611806C1" w14:textId="1F8152F5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1FEF">
              <w:t>2,456,579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71C8142B" w14:textId="37469452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1FEF">
              <w:t>175,491</w:t>
            </w:r>
          </w:p>
        </w:tc>
      </w:tr>
      <w:tr w:rsidR="00773252" w:rsidRPr="00C9382C" w14:paraId="292EDD7E" w14:textId="77777777" w:rsidTr="00773252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4C401870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51F6568E" w14:textId="77777777" w:rsidR="00773252" w:rsidRPr="00C9382C" w:rsidRDefault="00773252" w:rsidP="005A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auto"/>
            <w:noWrap/>
          </w:tcPr>
          <w:p w14:paraId="72636591" w14:textId="7E6F56C4" w:rsidR="00773252" w:rsidRPr="00C9382C" w:rsidRDefault="00773252" w:rsidP="0077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8" w:type="pct"/>
            <w:shd w:val="clear" w:color="auto" w:fill="auto"/>
            <w:noWrap/>
          </w:tcPr>
          <w:p w14:paraId="6A3C5FAA" w14:textId="71B31667" w:rsidR="00773252" w:rsidRPr="00C9382C" w:rsidRDefault="00773252" w:rsidP="0077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3252" w:rsidRPr="00C9382C" w14:paraId="1D0F081E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05F3F15C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Total APT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7A7F0DF1" w14:textId="442920FC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111,314,850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7746C73D" w14:textId="1A3E3326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387">
              <w:t>109,262,002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7156768E" w14:textId="5F3CF5DF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387">
              <w:t>-2,052,848</w:t>
            </w:r>
          </w:p>
        </w:tc>
      </w:tr>
      <w:tr w:rsidR="00024ADF" w:rsidRPr="00C9382C" w14:paraId="65DFA16E" w14:textId="77777777" w:rsidTr="001C0EA1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64B73B57" w14:textId="77777777" w:rsidR="00024ADF" w:rsidRPr="0073670D" w:rsidRDefault="00024ADF" w:rsidP="00024A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646C6DA4" w14:textId="77777777" w:rsidR="00024ADF" w:rsidRPr="00C9382C" w:rsidRDefault="00024ADF" w:rsidP="005A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2EB72224" w14:textId="77777777" w:rsidR="00024ADF" w:rsidRPr="00C9382C" w:rsidRDefault="00024ADF" w:rsidP="0077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14:paraId="42A598B1" w14:textId="77777777" w:rsidR="00024ADF" w:rsidRPr="00C9382C" w:rsidRDefault="00024ADF" w:rsidP="0077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3252" w:rsidRPr="00C9382C" w14:paraId="7F16A6BA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4F40DEB7" w14:textId="6524F9B0" w:rsidR="00773252" w:rsidRPr="0073670D" w:rsidRDefault="007213C1" w:rsidP="007213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Falling Rolls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06ACDF96" w14:textId="78E34553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auto"/>
            <w:noWrap/>
            <w:hideMark/>
          </w:tcPr>
          <w:p w14:paraId="310A2D73" w14:textId="6C082B68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002E">
              <w:t>450,000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6E7E51D7" w14:textId="218DDCB6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584E">
              <w:t>450,000</w:t>
            </w:r>
          </w:p>
        </w:tc>
      </w:tr>
      <w:tr w:rsidR="00773252" w:rsidRPr="00C9382C" w14:paraId="018FF94F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23073711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Centrally retained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66D846A3" w14:textId="41E782EE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auto"/>
            <w:noWrap/>
            <w:hideMark/>
          </w:tcPr>
          <w:p w14:paraId="121AD5A7" w14:textId="2488AF0D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002E">
              <w:t>850,000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2A831381" w14:textId="463303D4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584E">
              <w:t>850,000</w:t>
            </w:r>
          </w:p>
        </w:tc>
      </w:tr>
      <w:tr w:rsidR="00773252" w:rsidRPr="00C9382C" w14:paraId="03DD1D43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</w:tcPr>
          <w:p w14:paraId="0B5BFD15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ESG Retained</w:t>
            </w:r>
          </w:p>
        </w:tc>
        <w:tc>
          <w:tcPr>
            <w:tcW w:w="1131" w:type="pct"/>
            <w:shd w:val="clear" w:color="auto" w:fill="auto"/>
            <w:noWrap/>
            <w:vAlign w:val="bottom"/>
          </w:tcPr>
          <w:p w14:paraId="6308B6A4" w14:textId="77777777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1" w:type="pct"/>
            <w:shd w:val="clear" w:color="auto" w:fill="auto"/>
            <w:noWrap/>
          </w:tcPr>
          <w:p w14:paraId="605396C4" w14:textId="1D550D28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002E">
              <w:t>300,000</w:t>
            </w:r>
          </w:p>
        </w:tc>
        <w:tc>
          <w:tcPr>
            <w:tcW w:w="978" w:type="pct"/>
            <w:shd w:val="clear" w:color="auto" w:fill="auto"/>
            <w:noWrap/>
          </w:tcPr>
          <w:p w14:paraId="01CBD5FE" w14:textId="3EF142E3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584E">
              <w:t>300,000</w:t>
            </w:r>
          </w:p>
        </w:tc>
      </w:tr>
      <w:tr w:rsidR="00773252" w:rsidRPr="00C9382C" w14:paraId="456214A0" w14:textId="77777777" w:rsidTr="00A61FDE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54B8385B" w14:textId="77777777" w:rsidR="00773252" w:rsidRPr="0073670D" w:rsidRDefault="00773252" w:rsidP="00773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Total Allocated 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3A56E18D" w14:textId="54C4FC07" w:rsidR="00773252" w:rsidRPr="00C9382C" w:rsidRDefault="00773252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111,314,850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14:paraId="3217BB5C" w14:textId="37091C35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2002E">
              <w:t>110,862,002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14:paraId="537B89CB" w14:textId="738BEFF9" w:rsidR="00773252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584E">
              <w:t>-452,848</w:t>
            </w:r>
          </w:p>
        </w:tc>
      </w:tr>
      <w:tr w:rsidR="00024ADF" w:rsidRPr="00C9382C" w14:paraId="4660EF56" w14:textId="77777777" w:rsidTr="001C0EA1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5EBE1CD5" w14:textId="1489AC97" w:rsidR="00024ADF" w:rsidRPr="0073670D" w:rsidRDefault="00024ADF" w:rsidP="00024A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</w:t>
            </w:r>
            <w:r w:rsidR="00C1074D"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</w:t>
            </w:r>
            <w:r w:rsidR="000A08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</w:t>
            </w: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Disapplication applied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3E6507FF" w14:textId="7F7231BC" w:rsidR="00024ADF" w:rsidRPr="00C9382C" w:rsidRDefault="00024ADF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1,191,907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44F09BB3" w14:textId="5A8211AD" w:rsidR="00024ADF" w:rsidRPr="00C9382C" w:rsidRDefault="00024ADF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14:paraId="5D92089A" w14:textId="4AECFB2E" w:rsidR="00024ADF" w:rsidRPr="00C9382C" w:rsidRDefault="00024ADF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4ADF" w:rsidRPr="00C9382C" w14:paraId="69D69B2E" w14:textId="77777777" w:rsidTr="001C0EA1">
        <w:trPr>
          <w:trHeight w:val="247"/>
        </w:trPr>
        <w:tc>
          <w:tcPr>
            <w:tcW w:w="1760" w:type="pct"/>
            <w:shd w:val="clear" w:color="auto" w:fill="BFBFBF" w:themeFill="background1" w:themeFillShade="BF"/>
            <w:noWrap/>
            <w:vAlign w:val="bottom"/>
            <w:hideMark/>
          </w:tcPr>
          <w:p w14:paraId="0FCA8598" w14:textId="77777777" w:rsidR="00024ADF" w:rsidRPr="0073670D" w:rsidRDefault="00024ADF" w:rsidP="00024A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367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Balance of Schools Block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6773D967" w14:textId="5AEB0749" w:rsidR="00024ADF" w:rsidRPr="00C9382C" w:rsidRDefault="00595188" w:rsidP="005A33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93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-7,681</w:t>
            </w:r>
          </w:p>
        </w:tc>
        <w:tc>
          <w:tcPr>
            <w:tcW w:w="1131" w:type="pct"/>
            <w:shd w:val="clear" w:color="auto" w:fill="auto"/>
            <w:noWrap/>
            <w:vAlign w:val="bottom"/>
            <w:hideMark/>
          </w:tcPr>
          <w:p w14:paraId="626845AB" w14:textId="3861DDF8" w:rsidR="00024ADF" w:rsidRPr="00C9382C" w:rsidRDefault="00773252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32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1,192,818</w:t>
            </w: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14:paraId="5545979F" w14:textId="006CEBAE" w:rsidR="00024ADF" w:rsidRPr="00C9382C" w:rsidRDefault="00024ADF" w:rsidP="007732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90C2D8B" w14:textId="77777777" w:rsidR="00AD1841" w:rsidRDefault="00AD1841" w:rsidP="009663C6">
      <w:pPr>
        <w:tabs>
          <w:tab w:val="left" w:pos="709"/>
          <w:tab w:val="left" w:pos="993"/>
          <w:tab w:val="left" w:pos="1134"/>
        </w:tabs>
        <w:ind w:left="993"/>
        <w:jc w:val="both"/>
        <w:rPr>
          <w:rFonts w:ascii="Verdana" w:hAnsi="Verdana" w:cs="Arial"/>
          <w:sz w:val="24"/>
          <w:szCs w:val="24"/>
        </w:rPr>
      </w:pPr>
    </w:p>
    <w:p w14:paraId="133C14AD" w14:textId="77777777" w:rsidR="0073670D" w:rsidRDefault="0073670D">
      <w:pPr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br w:type="page"/>
      </w:r>
    </w:p>
    <w:p w14:paraId="02F1E8E6" w14:textId="77777777" w:rsidR="006B11C1" w:rsidRDefault="006B11C1" w:rsidP="00DE4903">
      <w:pPr>
        <w:spacing w:after="0"/>
        <w:ind w:left="851"/>
        <w:rPr>
          <w:rFonts w:ascii="Verdana" w:hAnsi="Verdana" w:cs="Arial"/>
          <w:szCs w:val="24"/>
        </w:rPr>
      </w:pPr>
    </w:p>
    <w:p w14:paraId="15806DF0" w14:textId="36297C71" w:rsidR="008B45A3" w:rsidRPr="009E1791" w:rsidRDefault="008B45A3" w:rsidP="008B45A3">
      <w:pPr>
        <w:tabs>
          <w:tab w:val="left" w:pos="709"/>
          <w:tab w:val="left" w:pos="993"/>
          <w:tab w:val="left" w:pos="1134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 w:rsidRPr="009E1791">
        <w:rPr>
          <w:rFonts w:asciiTheme="majorHAnsi" w:hAnsiTheme="majorHAnsi" w:cstheme="majorHAnsi"/>
          <w:b/>
          <w:sz w:val="24"/>
          <w:szCs w:val="24"/>
        </w:rPr>
        <w:t xml:space="preserve">Table </w:t>
      </w:r>
      <w:r w:rsidR="00AF70C3" w:rsidRPr="009E1791">
        <w:rPr>
          <w:rFonts w:asciiTheme="majorHAnsi" w:hAnsiTheme="majorHAnsi" w:cstheme="majorHAnsi"/>
          <w:b/>
          <w:sz w:val="24"/>
          <w:szCs w:val="24"/>
        </w:rPr>
        <w:t>9:</w:t>
      </w:r>
      <w:r w:rsidRPr="009E179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15BA2" w:rsidRPr="009E1791">
        <w:rPr>
          <w:rFonts w:asciiTheme="majorHAnsi" w:hAnsiTheme="majorHAnsi" w:cstheme="majorHAnsi"/>
          <w:b/>
          <w:sz w:val="24"/>
          <w:szCs w:val="24"/>
        </w:rPr>
        <w:t>Apportionme</w:t>
      </w:r>
      <w:r w:rsidR="001E44F3" w:rsidRPr="009E1791">
        <w:rPr>
          <w:rFonts w:asciiTheme="majorHAnsi" w:hAnsiTheme="majorHAnsi" w:cstheme="majorHAnsi"/>
          <w:b/>
          <w:sz w:val="24"/>
          <w:szCs w:val="24"/>
        </w:rPr>
        <w:t>nt of funding by factors with</w:t>
      </w:r>
      <w:r w:rsidR="00C15BA2" w:rsidRPr="009E1791">
        <w:rPr>
          <w:rFonts w:asciiTheme="majorHAnsi" w:hAnsiTheme="majorHAnsi" w:cstheme="majorHAnsi"/>
          <w:b/>
          <w:sz w:val="24"/>
          <w:szCs w:val="24"/>
        </w:rPr>
        <w:t xml:space="preserve"> disapplication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135"/>
        <w:gridCol w:w="2066"/>
        <w:gridCol w:w="1785"/>
      </w:tblGrid>
      <w:tr w:rsidR="006B11C1" w:rsidRPr="001C0EA1" w14:paraId="7D323791" w14:textId="77777777" w:rsidTr="001C0EA1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3CDFBC98" w14:textId="77777777" w:rsidR="006B11C1" w:rsidRPr="00AF70C3" w:rsidRDefault="006B11C1" w:rsidP="006B11C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20" w:type="pct"/>
            <w:gridSpan w:val="3"/>
            <w:shd w:val="clear" w:color="auto" w:fill="BFBFBF" w:themeFill="background1" w:themeFillShade="BF"/>
            <w:noWrap/>
            <w:vAlign w:val="bottom"/>
            <w:hideMark/>
          </w:tcPr>
          <w:p w14:paraId="6E52E543" w14:textId="77777777" w:rsidR="006B11C1" w:rsidRPr="00AF70C3" w:rsidRDefault="006B11C1" w:rsidP="006B11C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Values </w:t>
            </w:r>
          </w:p>
        </w:tc>
      </w:tr>
      <w:tr w:rsidR="001C0EA1" w:rsidRPr="001C0EA1" w14:paraId="7F734D96" w14:textId="77777777" w:rsidTr="001C0EA1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0A8ABC2D" w14:textId="77777777" w:rsidR="006B11C1" w:rsidRPr="00AF70C3" w:rsidRDefault="006B11C1" w:rsidP="006B11C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4" w:type="pct"/>
            <w:shd w:val="clear" w:color="auto" w:fill="BFBFBF" w:themeFill="background1" w:themeFillShade="BF"/>
            <w:noWrap/>
            <w:vAlign w:val="bottom"/>
            <w:hideMark/>
          </w:tcPr>
          <w:p w14:paraId="0761BFA0" w14:textId="77777777" w:rsidR="006B11C1" w:rsidRPr="00AF70C3" w:rsidRDefault="006B11C1" w:rsidP="006B11C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2016/17 </w:t>
            </w:r>
          </w:p>
        </w:tc>
        <w:tc>
          <w:tcPr>
            <w:tcW w:w="1146" w:type="pct"/>
            <w:shd w:val="clear" w:color="auto" w:fill="BFBFBF" w:themeFill="background1" w:themeFillShade="BF"/>
            <w:noWrap/>
            <w:vAlign w:val="bottom"/>
            <w:hideMark/>
          </w:tcPr>
          <w:p w14:paraId="4C011638" w14:textId="77777777" w:rsidR="006B11C1" w:rsidRPr="00AF70C3" w:rsidRDefault="006B11C1" w:rsidP="006B11C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2017/18 </w:t>
            </w:r>
          </w:p>
        </w:tc>
        <w:tc>
          <w:tcPr>
            <w:tcW w:w="990" w:type="pct"/>
            <w:shd w:val="clear" w:color="auto" w:fill="BFBFBF" w:themeFill="background1" w:themeFillShade="BF"/>
            <w:noWrap/>
            <w:vAlign w:val="bottom"/>
            <w:hideMark/>
          </w:tcPr>
          <w:p w14:paraId="60BE4BEB" w14:textId="77777777" w:rsidR="006B11C1" w:rsidRPr="00AF70C3" w:rsidRDefault="006B11C1" w:rsidP="006B11C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Movement </w:t>
            </w:r>
          </w:p>
        </w:tc>
      </w:tr>
      <w:tr w:rsidR="006B11C1" w:rsidRPr="008C366B" w14:paraId="620A0979" w14:textId="77777777" w:rsidTr="001C0EA1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05745DD2" w14:textId="77777777" w:rsidR="006B11C1" w:rsidRPr="00AF70C3" w:rsidRDefault="006B11C1" w:rsidP="006B11C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DSG Schools Block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5C3FEB2C" w14:textId="77777777" w:rsidR="006B11C1" w:rsidRPr="00AF70C3" w:rsidRDefault="00595188" w:rsidP="0059518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112,499,077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14:paraId="1B2DE56E" w14:textId="77777777" w:rsidR="006B11C1" w:rsidRPr="00AF70C3" w:rsidRDefault="006B11C1" w:rsidP="006B11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112,054,820 </w:t>
            </w: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4AC77CC2" w14:textId="77777777" w:rsidR="006B11C1" w:rsidRPr="00AF70C3" w:rsidRDefault="009E11FD" w:rsidP="001972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         444,257</w:t>
            </w:r>
          </w:p>
        </w:tc>
      </w:tr>
      <w:tr w:rsidR="006B11C1" w:rsidRPr="008C366B" w14:paraId="0E7A2D92" w14:textId="77777777" w:rsidTr="001C0EA1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361A4F7C" w14:textId="77777777" w:rsidR="006B11C1" w:rsidRPr="00AF70C3" w:rsidRDefault="006B11C1" w:rsidP="006B11C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2A680A6F" w14:textId="77777777" w:rsidR="006B11C1" w:rsidRPr="00AF70C3" w:rsidRDefault="006B11C1" w:rsidP="006B11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14:paraId="74651B9D" w14:textId="77777777" w:rsidR="006B11C1" w:rsidRPr="00AF70C3" w:rsidRDefault="006B11C1" w:rsidP="006B11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65E14753" w14:textId="77777777" w:rsidR="006B11C1" w:rsidRPr="00AF70C3" w:rsidRDefault="006B11C1" w:rsidP="0019728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773252" w:rsidRPr="008C366B" w14:paraId="739D8CB5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0032FB88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Primary (Years R-06)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3EE83A71" w14:textId="371E9392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36,621,667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6E16D711" w14:textId="3431ECD5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36,454,831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7D45A37A" w14:textId="06E3171A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-166,836 </w:t>
            </w:r>
          </w:p>
        </w:tc>
      </w:tr>
      <w:tr w:rsidR="00773252" w:rsidRPr="008C366B" w14:paraId="0169DCEE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7E2BF2A9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Key Stage 3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770947C9" w14:textId="26521681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24,748,112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3A13D6BE" w14:textId="1FD5F8FF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25,570,994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26220015" w14:textId="0B2D1B28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822,882 </w:t>
            </w:r>
          </w:p>
        </w:tc>
      </w:tr>
      <w:tr w:rsidR="00773252" w:rsidRPr="008C366B" w14:paraId="27986494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554D4BE2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Key Stage 4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11650A80" w14:textId="561335EF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17,114,970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6C5096EE" w14:textId="724EDC5C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17,028,241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6ABB1EC5" w14:textId="057D8162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-86,729 </w:t>
            </w:r>
          </w:p>
        </w:tc>
      </w:tr>
      <w:tr w:rsidR="00773252" w:rsidRPr="008C366B" w14:paraId="13294F5F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1C5742A8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Total Basic Entitlement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5AA4E60B" w14:textId="053CB3CD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78,484,749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031A2AFC" w14:textId="3A3CFF4B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79,054,065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1DEFCA1C" w14:textId="08E0557D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569,316 </w:t>
            </w:r>
          </w:p>
        </w:tc>
      </w:tr>
      <w:tr w:rsidR="006B11C1" w:rsidRPr="008C366B" w14:paraId="58122312" w14:textId="77777777" w:rsidTr="001C0EA1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32D6A6A9" w14:textId="77777777" w:rsidR="006B11C1" w:rsidRPr="00AF70C3" w:rsidRDefault="006B11C1" w:rsidP="006B11C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Reception Difference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6FC46F3E" w14:textId="04CA7A38" w:rsidR="006B11C1" w:rsidRPr="00AF70C3" w:rsidRDefault="006B11C1" w:rsidP="00E363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14:paraId="5DEC9329" w14:textId="766699D0" w:rsidR="006B11C1" w:rsidRPr="00AF70C3" w:rsidRDefault="006B11C1" w:rsidP="001972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57D66CA0" w14:textId="1B151668" w:rsidR="006B11C1" w:rsidRPr="00AF70C3" w:rsidRDefault="006B11C1" w:rsidP="001972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B11C1" w:rsidRPr="008C366B" w14:paraId="588CC5D0" w14:textId="77777777" w:rsidTr="001C0EA1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4AD8476D" w14:textId="77777777" w:rsidR="006B11C1" w:rsidRPr="00AF70C3" w:rsidRDefault="006B11C1" w:rsidP="006B11C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6638EAED" w14:textId="77777777" w:rsidR="006B11C1" w:rsidRPr="00AF70C3" w:rsidRDefault="006B11C1" w:rsidP="00E3631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14:paraId="30996722" w14:textId="77777777" w:rsidR="006B11C1" w:rsidRPr="00AF70C3" w:rsidRDefault="006B11C1" w:rsidP="0019728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08163F73" w14:textId="66783B37" w:rsidR="006B11C1" w:rsidRPr="00AF70C3" w:rsidRDefault="006B11C1" w:rsidP="001972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773252" w:rsidRPr="008C366B" w14:paraId="3906B474" w14:textId="77777777" w:rsidTr="00A61FDE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2B8DAEC1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Primary FSM6 Units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7575F50E" w14:textId="5AA1540F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4,769,469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49471D36" w14:textId="7732A742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4,379,116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483875A9" w14:textId="6B332190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-390,353 </w:t>
            </w:r>
          </w:p>
        </w:tc>
      </w:tr>
      <w:tr w:rsidR="00773252" w:rsidRPr="008C366B" w14:paraId="3271E3A8" w14:textId="77777777" w:rsidTr="00A61FDE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51459ABC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Secondary FSM6 Units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764DFAE8" w14:textId="20AD86E1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5,741,050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289F839A" w14:textId="229D4187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5,531,507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0A888563" w14:textId="23E5252E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-209,543 </w:t>
            </w:r>
          </w:p>
        </w:tc>
      </w:tr>
      <w:tr w:rsidR="00773252" w:rsidRPr="008C366B" w14:paraId="201E511D" w14:textId="77777777" w:rsidTr="00A61FDE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563782D1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IDACI Units Band 4/C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2AA25D26" w14:textId="201980F6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35,546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31DC50C0" w14:textId="5591E7D5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16,922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6C129656" w14:textId="63229E50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-18,624 </w:t>
            </w:r>
          </w:p>
        </w:tc>
      </w:tr>
      <w:tr w:rsidR="00773252" w:rsidRPr="008C366B" w14:paraId="7613D862" w14:textId="77777777" w:rsidTr="00A61FDE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461A805B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IDACI Units Band 5/B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01BAED18" w14:textId="610829A3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20,160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7B265083" w14:textId="69DB9AF1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70,937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07EBA489" w14:textId="67457520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50,777 </w:t>
            </w:r>
          </w:p>
        </w:tc>
      </w:tr>
      <w:tr w:rsidR="00773252" w:rsidRPr="008C366B" w14:paraId="04B962F6" w14:textId="77777777" w:rsidTr="00A61FDE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726125C7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IDACI Units Band 6/A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13F33F01" w14:textId="4E85D31A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8,231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75C4B8A4" w14:textId="37EF4965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37,871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16EC5D06" w14:textId="2331B5D8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29,640 </w:t>
            </w:r>
          </w:p>
        </w:tc>
      </w:tr>
      <w:tr w:rsidR="00773252" w:rsidRPr="008C366B" w14:paraId="3938B62A" w14:textId="77777777" w:rsidTr="00A61FDE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5716182F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EAL3 Units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05AAB259" w14:textId="4B6CA6B2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4,177,990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0088A9B2" w14:textId="0CCF47CB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3,834,832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15E2CF55" w14:textId="70CB0FA2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-343,158 </w:t>
            </w:r>
          </w:p>
        </w:tc>
      </w:tr>
      <w:tr w:rsidR="00773252" w:rsidRPr="008C366B" w14:paraId="48F6E929" w14:textId="77777777" w:rsidTr="00A61FDE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4FB136C5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LAC X Units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5C8F0D10" w14:textId="1D64BFBF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40,493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76F5156C" w14:textId="292A0DE8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40,678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3343BEAE" w14:textId="19B1DD00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185 </w:t>
            </w:r>
          </w:p>
        </w:tc>
      </w:tr>
      <w:tr w:rsidR="00773252" w:rsidRPr="008C366B" w14:paraId="6F940476" w14:textId="77777777" w:rsidTr="00A61FDE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435B9C77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Low Attainment Primary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2C8E6184" w14:textId="14F4C8DE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2,681,246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6D3FC816" w14:textId="357BD3AF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2,509,139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42EBEA9B" w14:textId="1C4858DD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-172,107 </w:t>
            </w:r>
          </w:p>
        </w:tc>
      </w:tr>
      <w:tr w:rsidR="00773252" w:rsidRPr="008C366B" w14:paraId="65DF50AB" w14:textId="77777777" w:rsidTr="00A61FDE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1C7C2000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Low Secondary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60E460A9" w14:textId="35618FC6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2,748,478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345D2A3B" w14:textId="0D29F48F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2,662,584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7529F66B" w14:textId="63834C80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-85,894 </w:t>
            </w:r>
          </w:p>
        </w:tc>
      </w:tr>
      <w:tr w:rsidR="00773252" w:rsidRPr="008C366B" w14:paraId="0F5A3092" w14:textId="77777777" w:rsidTr="00A61FDE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43269C3E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Mobility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3B44D47C" w14:textId="6B89A399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253,438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5A986A58" w14:textId="7D58C12D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211,385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24348EE2" w14:textId="51498F8D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-42,053 </w:t>
            </w:r>
          </w:p>
        </w:tc>
      </w:tr>
      <w:tr w:rsidR="00773252" w:rsidRPr="008C366B" w14:paraId="336AA5CB" w14:textId="77777777" w:rsidTr="00A61FDE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12061AEC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Lump Sums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0F4386F6" w14:textId="71E5B1C5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9,100,000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2C9D39D3" w14:textId="53EF4E21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9,100,000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26C01ECF" w14:textId="5D44D0E6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-   </w:t>
            </w:r>
          </w:p>
        </w:tc>
      </w:tr>
      <w:tr w:rsidR="00773252" w:rsidRPr="008C366B" w14:paraId="6820BB46" w14:textId="77777777" w:rsidTr="00A61FDE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1D67383C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Split Sites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1BE52752" w14:textId="56CD5F01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221,200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4122403E" w14:textId="3A70CB49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212,700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5A0760FD" w14:textId="17D0441B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-8,500 </w:t>
            </w:r>
          </w:p>
        </w:tc>
      </w:tr>
      <w:tr w:rsidR="00773252" w:rsidRPr="008C366B" w14:paraId="15C29E61" w14:textId="77777777" w:rsidTr="00A61FDE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4ABD65D0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NNDR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5EF7C04A" w14:textId="03E856CD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751,711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6198CE04" w14:textId="1F15141D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1,127,200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3E246850" w14:textId="5E179513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375,489 </w:t>
            </w:r>
          </w:p>
        </w:tc>
      </w:tr>
      <w:tr w:rsidR="0019728C" w:rsidRPr="008C366B" w14:paraId="1C70E084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6642B67E" w14:textId="77777777" w:rsidR="0019728C" w:rsidRPr="00AF70C3" w:rsidRDefault="0019728C" w:rsidP="0019728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285FF603" w14:textId="77777777" w:rsidR="0019728C" w:rsidRPr="00AF70C3" w:rsidRDefault="0019728C" w:rsidP="00E3631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46" w:type="pct"/>
            <w:shd w:val="clear" w:color="auto" w:fill="auto"/>
            <w:noWrap/>
            <w:hideMark/>
          </w:tcPr>
          <w:p w14:paraId="046D9CB2" w14:textId="50F31ABC" w:rsidR="0019728C" w:rsidRPr="00AF70C3" w:rsidRDefault="0019728C" w:rsidP="0019728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7C2116B4" w14:textId="77777777" w:rsidR="0019728C" w:rsidRPr="00AF70C3" w:rsidRDefault="0019728C" w:rsidP="0019728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773252" w:rsidRPr="008C366B" w14:paraId="74AD24E8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3161FBCD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MFG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1705A4C4" w14:textId="2CE2968C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2,281,088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4E8EBD02" w14:textId="5F60AFFA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1,665,876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54F5CC58" w14:textId="49F675BB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-615,212 </w:t>
            </w:r>
          </w:p>
        </w:tc>
      </w:tr>
      <w:tr w:rsidR="0019728C" w:rsidRPr="008C366B" w14:paraId="6CEB772B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316DC96D" w14:textId="77777777" w:rsidR="0019728C" w:rsidRPr="00AF70C3" w:rsidRDefault="0019728C" w:rsidP="0019728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5BD518DD" w14:textId="77777777" w:rsidR="0019728C" w:rsidRPr="00AF70C3" w:rsidRDefault="0019728C" w:rsidP="00E3631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46" w:type="pct"/>
            <w:shd w:val="clear" w:color="auto" w:fill="auto"/>
            <w:noWrap/>
          </w:tcPr>
          <w:p w14:paraId="1927ADF4" w14:textId="3C559F89" w:rsidR="0019728C" w:rsidRPr="00AF70C3" w:rsidRDefault="0019728C" w:rsidP="0019728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0" w:type="pct"/>
            <w:shd w:val="clear" w:color="auto" w:fill="auto"/>
            <w:noWrap/>
            <w:hideMark/>
          </w:tcPr>
          <w:p w14:paraId="2249310D" w14:textId="77777777" w:rsidR="0019728C" w:rsidRPr="00AF70C3" w:rsidRDefault="0019728C" w:rsidP="0019728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773252" w:rsidRPr="008C366B" w14:paraId="5C16F947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20479659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Total APT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755F9332" w14:textId="6C25137B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111,314,850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6E9ECE36" w14:textId="6CFE9B0F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110,454,812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5D59E0EE" w14:textId="60303EBA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-860,038 </w:t>
            </w:r>
          </w:p>
        </w:tc>
      </w:tr>
      <w:tr w:rsidR="0019728C" w:rsidRPr="008C366B" w14:paraId="45AE53DB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78660B6E" w14:textId="77777777" w:rsidR="0019728C" w:rsidRPr="00AF70C3" w:rsidRDefault="0019728C" w:rsidP="0019728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7DD177B7" w14:textId="77777777" w:rsidR="0019728C" w:rsidRPr="00AF70C3" w:rsidRDefault="0019728C" w:rsidP="00E3631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46" w:type="pct"/>
            <w:shd w:val="clear" w:color="auto" w:fill="auto"/>
            <w:noWrap/>
            <w:hideMark/>
          </w:tcPr>
          <w:p w14:paraId="67EA91F4" w14:textId="77777777" w:rsidR="0019728C" w:rsidRPr="00AF70C3" w:rsidRDefault="0019728C" w:rsidP="0019728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0" w:type="pct"/>
            <w:shd w:val="clear" w:color="auto" w:fill="auto"/>
            <w:noWrap/>
            <w:hideMark/>
          </w:tcPr>
          <w:p w14:paraId="2CEE1BD4" w14:textId="77777777" w:rsidR="0019728C" w:rsidRPr="00AF70C3" w:rsidRDefault="0019728C" w:rsidP="0019728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773252" w:rsidRPr="008C366B" w14:paraId="1BC1CC38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4BD3C91B" w14:textId="35CEEF74" w:rsidR="00773252" w:rsidRPr="00AF70C3" w:rsidRDefault="00773252" w:rsidP="007213C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Falling Rol</w:t>
            </w:r>
            <w:r w:rsidR="007213C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ls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16D6F4C4" w14:textId="65695476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6" w:type="pct"/>
            <w:shd w:val="clear" w:color="auto" w:fill="auto"/>
            <w:noWrap/>
            <w:hideMark/>
          </w:tcPr>
          <w:p w14:paraId="4F78C284" w14:textId="4A1D1840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450,000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66CB2E72" w14:textId="5B9B35AB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450,000</w:t>
            </w:r>
          </w:p>
        </w:tc>
      </w:tr>
      <w:tr w:rsidR="00773252" w:rsidRPr="008C366B" w14:paraId="1629FF6C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74C43D08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Centrally retained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2766610E" w14:textId="14DA1999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6" w:type="pct"/>
            <w:shd w:val="clear" w:color="auto" w:fill="auto"/>
            <w:noWrap/>
            <w:hideMark/>
          </w:tcPr>
          <w:p w14:paraId="1DA62763" w14:textId="5C5BF434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850,000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0A41B784" w14:textId="5B12E4A9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850,000</w:t>
            </w:r>
          </w:p>
        </w:tc>
      </w:tr>
      <w:tr w:rsidR="00773252" w:rsidRPr="008C366B" w14:paraId="0FE13D9E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</w:tcPr>
          <w:p w14:paraId="64389C1D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ESG Retained</w:t>
            </w:r>
          </w:p>
        </w:tc>
        <w:tc>
          <w:tcPr>
            <w:tcW w:w="1184" w:type="pct"/>
            <w:shd w:val="clear" w:color="auto" w:fill="auto"/>
            <w:noWrap/>
            <w:vAlign w:val="bottom"/>
          </w:tcPr>
          <w:p w14:paraId="6AC9E21E" w14:textId="77777777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6" w:type="pct"/>
            <w:shd w:val="clear" w:color="auto" w:fill="auto"/>
            <w:noWrap/>
          </w:tcPr>
          <w:p w14:paraId="5DF49414" w14:textId="795371B1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300,000 </w:t>
            </w:r>
          </w:p>
        </w:tc>
        <w:tc>
          <w:tcPr>
            <w:tcW w:w="990" w:type="pct"/>
            <w:shd w:val="clear" w:color="auto" w:fill="auto"/>
            <w:noWrap/>
          </w:tcPr>
          <w:p w14:paraId="0AE1B4C9" w14:textId="3B006490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300,000</w:t>
            </w:r>
          </w:p>
        </w:tc>
      </w:tr>
      <w:tr w:rsidR="00773252" w:rsidRPr="008C366B" w14:paraId="1C2580B1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4F058B86" w14:textId="77777777" w:rsidR="00773252" w:rsidRPr="00AF70C3" w:rsidRDefault="00773252" w:rsidP="007732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Total Allocated 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22C66534" w14:textId="4BC44D2E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111,314,850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14:paraId="30254758" w14:textId="0178F73D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 xml:space="preserve"> 112,054,812 </w:t>
            </w:r>
          </w:p>
        </w:tc>
        <w:tc>
          <w:tcPr>
            <w:tcW w:w="990" w:type="pct"/>
            <w:shd w:val="clear" w:color="auto" w:fill="auto"/>
            <w:noWrap/>
            <w:hideMark/>
          </w:tcPr>
          <w:p w14:paraId="212ED170" w14:textId="7BDEC807" w:rsidR="00773252" w:rsidRPr="00AF70C3" w:rsidRDefault="00773252" w:rsidP="007732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>739,962</w:t>
            </w:r>
          </w:p>
        </w:tc>
      </w:tr>
      <w:tr w:rsidR="0019728C" w:rsidRPr="008C366B" w14:paraId="57333982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65C6D952" w14:textId="77777777" w:rsidR="0019728C" w:rsidRPr="00AF70C3" w:rsidRDefault="0019728C" w:rsidP="0019728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Disapplication 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188C0285" w14:textId="3EA634EF" w:rsidR="0019728C" w:rsidRPr="00AF70C3" w:rsidRDefault="0019728C" w:rsidP="00E363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1,191,907</w:t>
            </w:r>
          </w:p>
        </w:tc>
        <w:tc>
          <w:tcPr>
            <w:tcW w:w="1146" w:type="pct"/>
            <w:shd w:val="clear" w:color="auto" w:fill="auto"/>
            <w:noWrap/>
          </w:tcPr>
          <w:p w14:paraId="4E497917" w14:textId="1A68FA3B" w:rsidR="0019728C" w:rsidRPr="00AF70C3" w:rsidRDefault="0019728C" w:rsidP="001972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73B739D9" w14:textId="596CE36F" w:rsidR="0019728C" w:rsidRPr="00AF70C3" w:rsidRDefault="0019728C" w:rsidP="001972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9728C" w:rsidRPr="008C366B" w14:paraId="76B976FD" w14:textId="77777777" w:rsidTr="0019728C">
        <w:trPr>
          <w:trHeight w:val="276"/>
        </w:trPr>
        <w:tc>
          <w:tcPr>
            <w:tcW w:w="1680" w:type="pct"/>
            <w:shd w:val="clear" w:color="auto" w:fill="BFBFBF" w:themeFill="background1" w:themeFillShade="BF"/>
            <w:noWrap/>
            <w:vAlign w:val="bottom"/>
            <w:hideMark/>
          </w:tcPr>
          <w:p w14:paraId="63321DD8" w14:textId="77777777" w:rsidR="0019728C" w:rsidRPr="00AF70C3" w:rsidRDefault="0019728C" w:rsidP="0019728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Balance of Schools Block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14AFDDB5" w14:textId="0949987C" w:rsidR="0019728C" w:rsidRPr="00AF70C3" w:rsidRDefault="0019728C" w:rsidP="00E36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7,681</w:t>
            </w:r>
          </w:p>
        </w:tc>
        <w:tc>
          <w:tcPr>
            <w:tcW w:w="1146" w:type="pct"/>
            <w:shd w:val="clear" w:color="auto" w:fill="auto"/>
            <w:noWrap/>
          </w:tcPr>
          <w:p w14:paraId="39D9345B" w14:textId="67F1A6B7" w:rsidR="0019728C" w:rsidRPr="00AF70C3" w:rsidRDefault="00773252" w:rsidP="0019728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5CBA6B76" w14:textId="77777777" w:rsidR="0019728C" w:rsidRPr="00AF70C3" w:rsidRDefault="0019728C" w:rsidP="001972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F70C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4416C20B" w14:textId="77777777" w:rsidR="006B11C1" w:rsidRDefault="006B11C1" w:rsidP="00DE4903">
      <w:pPr>
        <w:spacing w:after="0"/>
        <w:ind w:left="851"/>
        <w:rPr>
          <w:rFonts w:ascii="Verdana" w:hAnsi="Verdana" w:cs="Arial"/>
          <w:szCs w:val="24"/>
        </w:rPr>
      </w:pPr>
    </w:p>
    <w:p w14:paraId="381EFCD5" w14:textId="77777777" w:rsidR="00A6133B" w:rsidRDefault="00A6133B" w:rsidP="00DE4903">
      <w:pPr>
        <w:spacing w:after="0"/>
        <w:ind w:left="851"/>
        <w:rPr>
          <w:rFonts w:ascii="Verdana" w:hAnsi="Verdana" w:cs="Arial"/>
          <w:szCs w:val="24"/>
        </w:rPr>
      </w:pPr>
    </w:p>
    <w:p w14:paraId="17D6533E" w14:textId="77777777" w:rsidR="006B11C1" w:rsidRPr="00CF7B28" w:rsidRDefault="006B11C1" w:rsidP="00DE4903">
      <w:pPr>
        <w:spacing w:after="0"/>
        <w:ind w:left="851"/>
        <w:rPr>
          <w:rFonts w:ascii="Verdana" w:hAnsi="Verdana" w:cs="Arial"/>
          <w:szCs w:val="24"/>
        </w:rPr>
      </w:pPr>
    </w:p>
    <w:p w14:paraId="14443F87" w14:textId="77777777" w:rsidR="00DE4903" w:rsidRPr="00CF7B28" w:rsidRDefault="00DE4903" w:rsidP="00DE4903">
      <w:pPr>
        <w:tabs>
          <w:tab w:val="left" w:pos="709"/>
          <w:tab w:val="left" w:pos="993"/>
          <w:tab w:val="left" w:pos="1134"/>
          <w:tab w:val="left" w:pos="1985"/>
        </w:tabs>
        <w:spacing w:after="0"/>
        <w:ind w:left="851"/>
        <w:rPr>
          <w:rFonts w:ascii="Verdana" w:hAnsi="Verdana" w:cs="Arial"/>
          <w:szCs w:val="24"/>
        </w:rPr>
      </w:pPr>
      <w:r w:rsidRPr="00CF7B28">
        <w:rPr>
          <w:rFonts w:ascii="Verdana" w:hAnsi="Verdana" w:cs="Arial"/>
          <w:szCs w:val="24"/>
          <w:highlight w:val="yellow"/>
        </w:rPr>
        <w:t xml:space="preserve"> </w:t>
      </w:r>
    </w:p>
    <w:p w14:paraId="1945D4E5" w14:textId="77777777" w:rsidR="00AF6E58" w:rsidRPr="00336FAF" w:rsidRDefault="00AF6E58" w:rsidP="00336FAF">
      <w:pPr>
        <w:tabs>
          <w:tab w:val="left" w:pos="709"/>
          <w:tab w:val="left" w:pos="851"/>
        </w:tabs>
        <w:jc w:val="both"/>
        <w:rPr>
          <w:rFonts w:ascii="Verdana" w:hAnsi="Verdana" w:cs="Arial"/>
          <w:b/>
          <w:sz w:val="24"/>
          <w:szCs w:val="24"/>
        </w:rPr>
      </w:pPr>
    </w:p>
    <w:p w14:paraId="2705072C" w14:textId="77777777" w:rsidR="0013473E" w:rsidRDefault="0013473E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 w:type="page"/>
      </w:r>
    </w:p>
    <w:p w14:paraId="06F0DC62" w14:textId="77777777" w:rsidR="003D1199" w:rsidRPr="00FA03D7" w:rsidRDefault="001101D5" w:rsidP="007F2B45">
      <w:pPr>
        <w:pStyle w:val="ListParagraph"/>
        <w:numPr>
          <w:ilvl w:val="0"/>
          <w:numId w:val="18"/>
        </w:numPr>
        <w:spacing w:after="0" w:line="360" w:lineRule="auto"/>
        <w:ind w:left="851" w:hanging="851"/>
        <w:jc w:val="both"/>
        <w:rPr>
          <w:rFonts w:ascii="Verdana" w:hAnsi="Verdana" w:cs="Arial"/>
          <w:b/>
          <w:sz w:val="24"/>
          <w:szCs w:val="24"/>
        </w:rPr>
      </w:pPr>
      <w:r w:rsidRPr="00FA03D7">
        <w:rPr>
          <w:rFonts w:ascii="Verdana" w:hAnsi="Verdana" w:cs="Arial"/>
          <w:b/>
          <w:sz w:val="24"/>
          <w:szCs w:val="24"/>
        </w:rPr>
        <w:lastRenderedPageBreak/>
        <w:t xml:space="preserve">Falling Rolls </w:t>
      </w:r>
      <w:r w:rsidR="00751359" w:rsidRPr="00FA03D7">
        <w:rPr>
          <w:rFonts w:ascii="Verdana" w:hAnsi="Verdana" w:cs="Arial"/>
          <w:b/>
          <w:sz w:val="24"/>
          <w:szCs w:val="24"/>
        </w:rPr>
        <w:t>2016/17</w:t>
      </w:r>
      <w:r w:rsidR="002B09E2" w:rsidRPr="00FA03D7">
        <w:rPr>
          <w:rFonts w:ascii="Verdana" w:hAnsi="Verdana" w:cs="Arial"/>
          <w:b/>
          <w:sz w:val="24"/>
          <w:szCs w:val="24"/>
        </w:rPr>
        <w:t xml:space="preserve"> </w:t>
      </w:r>
    </w:p>
    <w:p w14:paraId="61435452" w14:textId="2EFF9543" w:rsidR="00F2576E" w:rsidRPr="00FA03D7" w:rsidRDefault="00751359" w:rsidP="00DF62C4">
      <w:pPr>
        <w:pStyle w:val="ListParagraph"/>
        <w:numPr>
          <w:ilvl w:val="1"/>
          <w:numId w:val="18"/>
        </w:numPr>
        <w:spacing w:after="0" w:line="360" w:lineRule="auto"/>
        <w:ind w:left="851" w:hanging="851"/>
        <w:jc w:val="both"/>
        <w:rPr>
          <w:rFonts w:ascii="Verdana" w:hAnsi="Verdana" w:cs="Arial"/>
          <w:b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The falling rolls fund was introduced by the D</w:t>
      </w:r>
      <w:r w:rsidR="006E3B3C" w:rsidRPr="00FA03D7">
        <w:rPr>
          <w:rFonts w:ascii="Verdana" w:hAnsi="Verdana" w:cs="Arial"/>
          <w:sz w:val="24"/>
          <w:szCs w:val="24"/>
        </w:rPr>
        <w:t>f</w:t>
      </w:r>
      <w:r w:rsidRPr="00FA03D7">
        <w:rPr>
          <w:rFonts w:ascii="Verdana" w:hAnsi="Verdana" w:cs="Arial"/>
          <w:sz w:val="24"/>
          <w:szCs w:val="24"/>
        </w:rPr>
        <w:t xml:space="preserve">E to enable </w:t>
      </w:r>
      <w:r w:rsidR="004916D2" w:rsidRPr="00FA03D7">
        <w:rPr>
          <w:rFonts w:ascii="Verdana" w:hAnsi="Verdana" w:cs="Arial"/>
          <w:sz w:val="24"/>
          <w:szCs w:val="24"/>
        </w:rPr>
        <w:t>local authorities to target resources to schools</w:t>
      </w:r>
      <w:r w:rsidRPr="00FA03D7">
        <w:rPr>
          <w:rFonts w:ascii="Verdana" w:hAnsi="Verdana" w:cs="Arial"/>
          <w:sz w:val="24"/>
          <w:szCs w:val="24"/>
        </w:rPr>
        <w:t xml:space="preserve"> with a good or outstanding </w:t>
      </w:r>
      <w:r w:rsidR="006E3B3C" w:rsidRPr="00FA03D7">
        <w:rPr>
          <w:rFonts w:ascii="Verdana" w:hAnsi="Verdana" w:cs="Arial"/>
          <w:sz w:val="24"/>
          <w:szCs w:val="24"/>
        </w:rPr>
        <w:t>Ofsted</w:t>
      </w:r>
      <w:r w:rsidRPr="00FA03D7">
        <w:rPr>
          <w:rFonts w:ascii="Verdana" w:hAnsi="Verdana" w:cs="Arial"/>
          <w:sz w:val="24"/>
          <w:szCs w:val="24"/>
        </w:rPr>
        <w:t xml:space="preserve"> rating, which </w:t>
      </w:r>
      <w:r w:rsidR="00BB4267" w:rsidRPr="00FA03D7">
        <w:rPr>
          <w:rFonts w:ascii="Verdana" w:hAnsi="Verdana" w:cs="Arial"/>
          <w:sz w:val="24"/>
          <w:szCs w:val="24"/>
        </w:rPr>
        <w:t>are</w:t>
      </w:r>
      <w:r w:rsidRPr="00FA03D7">
        <w:rPr>
          <w:rFonts w:ascii="Verdana" w:hAnsi="Verdana" w:cs="Arial"/>
          <w:sz w:val="24"/>
          <w:szCs w:val="24"/>
        </w:rPr>
        <w:t xml:space="preserve"> facing a temporary</w:t>
      </w:r>
      <w:r w:rsidR="006C5870" w:rsidRPr="00FA03D7">
        <w:rPr>
          <w:rFonts w:ascii="Verdana" w:hAnsi="Verdana" w:cs="Arial"/>
          <w:sz w:val="24"/>
          <w:szCs w:val="24"/>
        </w:rPr>
        <w:t>/unplanned</w:t>
      </w:r>
      <w:r w:rsidRPr="00FA03D7">
        <w:rPr>
          <w:rFonts w:ascii="Verdana" w:hAnsi="Verdana" w:cs="Arial"/>
          <w:sz w:val="24"/>
          <w:szCs w:val="24"/>
        </w:rPr>
        <w:t xml:space="preserve"> reduction in pupil numbers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6F06BAE2" w14:textId="77777777" w:rsidR="005A7E32" w:rsidRPr="00FA03D7" w:rsidRDefault="004F4EC1" w:rsidP="007F2B45">
      <w:pPr>
        <w:pStyle w:val="ListParagraph"/>
        <w:numPr>
          <w:ilvl w:val="1"/>
          <w:numId w:val="18"/>
        </w:numPr>
        <w:spacing w:after="0" w:line="360" w:lineRule="auto"/>
        <w:ind w:left="851" w:hanging="851"/>
        <w:jc w:val="both"/>
        <w:rPr>
          <w:rFonts w:ascii="Verdana" w:hAnsi="Verdana" w:cs="Arial"/>
          <w:b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T</w:t>
      </w:r>
      <w:r w:rsidR="00DF62C4" w:rsidRPr="00FA03D7">
        <w:rPr>
          <w:rFonts w:ascii="Verdana" w:hAnsi="Verdana" w:cs="Arial"/>
          <w:sz w:val="24"/>
          <w:szCs w:val="24"/>
        </w:rPr>
        <w:t xml:space="preserve">he Local Authority proposes to </w:t>
      </w:r>
      <w:r w:rsidR="00751359" w:rsidRPr="00FA03D7">
        <w:rPr>
          <w:rFonts w:ascii="Verdana" w:hAnsi="Verdana" w:cs="Arial"/>
          <w:sz w:val="24"/>
          <w:szCs w:val="24"/>
        </w:rPr>
        <w:t xml:space="preserve">work with the schools identified </w:t>
      </w:r>
      <w:r w:rsidRPr="00FA03D7">
        <w:rPr>
          <w:rFonts w:ascii="Verdana" w:hAnsi="Verdana" w:cs="Arial"/>
          <w:sz w:val="24"/>
          <w:szCs w:val="24"/>
        </w:rPr>
        <w:t>as</w:t>
      </w:r>
      <w:r w:rsidR="00DF62C4" w:rsidRPr="00FA03D7">
        <w:rPr>
          <w:rFonts w:ascii="Verdana" w:hAnsi="Verdana" w:cs="Arial"/>
          <w:sz w:val="24"/>
          <w:szCs w:val="24"/>
        </w:rPr>
        <w:t xml:space="preserve"> eligible for falling rolls funding</w:t>
      </w:r>
      <w:r w:rsidRPr="00FA03D7">
        <w:rPr>
          <w:rFonts w:ascii="Verdana" w:hAnsi="Verdana" w:cs="Arial"/>
          <w:sz w:val="24"/>
          <w:szCs w:val="24"/>
        </w:rPr>
        <w:t>,</w:t>
      </w:r>
      <w:r w:rsidR="00DF62C4" w:rsidRPr="00FA03D7">
        <w:rPr>
          <w:rFonts w:ascii="Verdana" w:hAnsi="Verdana" w:cs="Arial"/>
          <w:sz w:val="24"/>
          <w:szCs w:val="24"/>
        </w:rPr>
        <w:t xml:space="preserve"> </w:t>
      </w:r>
      <w:r w:rsidR="00751359" w:rsidRPr="00FA03D7">
        <w:rPr>
          <w:rFonts w:ascii="Verdana" w:hAnsi="Verdana" w:cs="Arial"/>
          <w:sz w:val="24"/>
          <w:szCs w:val="24"/>
        </w:rPr>
        <w:t xml:space="preserve">to </w:t>
      </w:r>
      <w:r w:rsidR="00DF62C4" w:rsidRPr="00FA03D7">
        <w:rPr>
          <w:rFonts w:ascii="Verdana" w:hAnsi="Verdana" w:cs="Arial"/>
          <w:sz w:val="24"/>
          <w:szCs w:val="24"/>
        </w:rPr>
        <w:t>develop</w:t>
      </w:r>
      <w:r w:rsidR="00751359" w:rsidRPr="00FA03D7">
        <w:rPr>
          <w:rFonts w:ascii="Verdana" w:hAnsi="Verdana" w:cs="Arial"/>
          <w:sz w:val="24"/>
          <w:szCs w:val="24"/>
        </w:rPr>
        <w:t xml:space="preserve"> a business plan for </w:t>
      </w:r>
      <w:r w:rsidR="00BB4267" w:rsidRPr="00FA03D7">
        <w:rPr>
          <w:rFonts w:ascii="Verdana" w:hAnsi="Verdana" w:cs="Arial"/>
          <w:sz w:val="24"/>
          <w:szCs w:val="24"/>
        </w:rPr>
        <w:t xml:space="preserve">the use of </w:t>
      </w:r>
      <w:r w:rsidR="00644184" w:rsidRPr="00FA03D7">
        <w:rPr>
          <w:rFonts w:ascii="Verdana" w:hAnsi="Verdana" w:cs="Arial"/>
          <w:sz w:val="24"/>
          <w:szCs w:val="24"/>
        </w:rPr>
        <w:t xml:space="preserve">transitional </w:t>
      </w:r>
      <w:r w:rsidRPr="00FA03D7">
        <w:rPr>
          <w:rFonts w:ascii="Verdana" w:hAnsi="Verdana" w:cs="Arial"/>
          <w:sz w:val="24"/>
          <w:szCs w:val="24"/>
        </w:rPr>
        <w:t xml:space="preserve">funding </w:t>
      </w:r>
      <w:r w:rsidR="00644184" w:rsidRPr="00FA03D7">
        <w:rPr>
          <w:rFonts w:ascii="Verdana" w:hAnsi="Verdana" w:cs="Arial"/>
          <w:sz w:val="24"/>
          <w:szCs w:val="24"/>
        </w:rPr>
        <w:t>while numbers on roll increase.</w:t>
      </w:r>
    </w:p>
    <w:p w14:paraId="703C5BEC" w14:textId="77777777" w:rsidR="000C659E" w:rsidRPr="00FA03D7" w:rsidRDefault="00BB4267" w:rsidP="007F2B45">
      <w:pPr>
        <w:pStyle w:val="ListParagraph"/>
        <w:numPr>
          <w:ilvl w:val="1"/>
          <w:numId w:val="18"/>
        </w:numPr>
        <w:spacing w:after="0" w:line="360" w:lineRule="auto"/>
        <w:ind w:left="851" w:hanging="851"/>
        <w:jc w:val="both"/>
        <w:rPr>
          <w:rFonts w:ascii="Verdana" w:hAnsi="Verdana" w:cs="Arial"/>
          <w:b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Eligible schools are identified as those where</w:t>
      </w:r>
      <w:r w:rsidR="00751359" w:rsidRPr="00FA03D7">
        <w:rPr>
          <w:rFonts w:ascii="Verdana" w:hAnsi="Verdana" w:cs="Arial"/>
          <w:sz w:val="24"/>
          <w:szCs w:val="24"/>
        </w:rPr>
        <w:t xml:space="preserve"> </w:t>
      </w:r>
      <w:r w:rsidRPr="00FA03D7">
        <w:rPr>
          <w:rFonts w:ascii="Verdana" w:hAnsi="Verdana" w:cs="Arial"/>
          <w:sz w:val="24"/>
          <w:szCs w:val="24"/>
        </w:rPr>
        <w:t xml:space="preserve">the </w:t>
      </w:r>
      <w:r w:rsidR="00751359" w:rsidRPr="00FA03D7">
        <w:rPr>
          <w:rFonts w:ascii="Verdana" w:hAnsi="Verdana" w:cs="Arial"/>
          <w:sz w:val="24"/>
          <w:szCs w:val="24"/>
        </w:rPr>
        <w:t>pupil numbe</w:t>
      </w:r>
      <w:r w:rsidRPr="00FA03D7">
        <w:rPr>
          <w:rFonts w:ascii="Verdana" w:hAnsi="Verdana" w:cs="Arial"/>
          <w:sz w:val="24"/>
          <w:szCs w:val="24"/>
        </w:rPr>
        <w:t>r drop based on the previous census is</w:t>
      </w:r>
      <w:r w:rsidR="00372A4F" w:rsidRPr="00FA03D7">
        <w:rPr>
          <w:rFonts w:ascii="Verdana" w:hAnsi="Verdana" w:cs="Arial"/>
          <w:sz w:val="24"/>
          <w:szCs w:val="24"/>
        </w:rPr>
        <w:t xml:space="preserve"> greater than 5%</w:t>
      </w:r>
      <w:r w:rsidRPr="00FA03D7">
        <w:rPr>
          <w:rFonts w:ascii="Verdana" w:hAnsi="Verdana" w:cs="Arial"/>
          <w:sz w:val="24"/>
          <w:szCs w:val="24"/>
        </w:rPr>
        <w:t xml:space="preserve"> and the school is Ofsted rated good or outstanding. </w:t>
      </w:r>
    </w:p>
    <w:p w14:paraId="569F5542" w14:textId="47192D13" w:rsidR="00C641FE" w:rsidRPr="00FA03D7" w:rsidRDefault="000C659E" w:rsidP="009E1791">
      <w:pPr>
        <w:pStyle w:val="ListParagraph"/>
        <w:numPr>
          <w:ilvl w:val="1"/>
          <w:numId w:val="18"/>
        </w:numPr>
        <w:spacing w:after="0" w:line="360" w:lineRule="auto"/>
        <w:ind w:hanging="862"/>
        <w:jc w:val="both"/>
        <w:rPr>
          <w:rFonts w:ascii="Verdana" w:hAnsi="Verdana" w:cs="Arial"/>
          <w:b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 xml:space="preserve">Table </w:t>
      </w:r>
      <w:r w:rsidR="00EF4605" w:rsidRPr="00FA03D7">
        <w:rPr>
          <w:rFonts w:ascii="Verdana" w:hAnsi="Verdana" w:cs="Arial"/>
          <w:sz w:val="24"/>
          <w:szCs w:val="24"/>
        </w:rPr>
        <w:t>10</w:t>
      </w:r>
      <w:r w:rsidRPr="00FA03D7">
        <w:rPr>
          <w:rFonts w:ascii="Verdana" w:hAnsi="Verdana" w:cs="Arial"/>
          <w:sz w:val="24"/>
          <w:szCs w:val="24"/>
        </w:rPr>
        <w:t xml:space="preserve"> sets out </w:t>
      </w:r>
      <w:r w:rsidR="00751359" w:rsidRPr="00FA03D7">
        <w:rPr>
          <w:rFonts w:ascii="Verdana" w:hAnsi="Verdana" w:cs="Arial"/>
          <w:sz w:val="24"/>
          <w:szCs w:val="24"/>
        </w:rPr>
        <w:t xml:space="preserve">schools </w:t>
      </w:r>
      <w:r w:rsidR="00BB4267" w:rsidRPr="00FA03D7">
        <w:rPr>
          <w:rFonts w:ascii="Verdana" w:hAnsi="Verdana" w:cs="Arial"/>
          <w:sz w:val="24"/>
          <w:szCs w:val="24"/>
        </w:rPr>
        <w:t>that are eligible to apply for f</w:t>
      </w:r>
      <w:r w:rsidR="00751359" w:rsidRPr="00FA03D7">
        <w:rPr>
          <w:rFonts w:ascii="Verdana" w:hAnsi="Verdana" w:cs="Arial"/>
          <w:sz w:val="24"/>
          <w:szCs w:val="24"/>
        </w:rPr>
        <w:t xml:space="preserve">alling </w:t>
      </w:r>
      <w:r w:rsidR="00BB4267" w:rsidRPr="00FA03D7">
        <w:rPr>
          <w:rFonts w:ascii="Verdana" w:hAnsi="Verdana" w:cs="Arial"/>
          <w:sz w:val="24"/>
          <w:szCs w:val="24"/>
        </w:rPr>
        <w:t>r</w:t>
      </w:r>
      <w:r w:rsidR="00751359" w:rsidRPr="00FA03D7">
        <w:rPr>
          <w:rFonts w:ascii="Verdana" w:hAnsi="Verdana" w:cs="Arial"/>
          <w:sz w:val="24"/>
          <w:szCs w:val="24"/>
        </w:rPr>
        <w:t>olls</w:t>
      </w:r>
      <w:r w:rsidR="00BB4267" w:rsidRPr="00FA03D7">
        <w:rPr>
          <w:rFonts w:ascii="Verdana" w:hAnsi="Verdana" w:cs="Arial"/>
          <w:sz w:val="24"/>
          <w:szCs w:val="24"/>
        </w:rPr>
        <w:t xml:space="preserve"> funding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Pr="00FA03D7">
        <w:rPr>
          <w:rFonts w:ascii="Verdana" w:hAnsi="Verdana" w:cs="Arial"/>
          <w:sz w:val="24"/>
          <w:szCs w:val="24"/>
        </w:rPr>
        <w:t>The A</w:t>
      </w:r>
      <w:r w:rsidR="00372A4F" w:rsidRPr="00FA03D7">
        <w:rPr>
          <w:rFonts w:ascii="Verdana" w:hAnsi="Verdana" w:cs="Arial"/>
          <w:sz w:val="24"/>
          <w:szCs w:val="24"/>
        </w:rPr>
        <w:t>uthority has used Age Weighted Pupil Unit (AWPU) to calculate any funding that could be allocated to these schools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="00372A4F" w:rsidRPr="00FA03D7">
        <w:rPr>
          <w:rFonts w:ascii="Verdana" w:hAnsi="Verdana" w:cs="Arial"/>
          <w:sz w:val="24"/>
          <w:szCs w:val="24"/>
        </w:rPr>
        <w:t xml:space="preserve">Using this </w:t>
      </w:r>
      <w:r w:rsidR="007F2A02" w:rsidRPr="00FA03D7">
        <w:rPr>
          <w:rFonts w:ascii="Verdana" w:hAnsi="Verdana" w:cs="Arial"/>
          <w:sz w:val="24"/>
          <w:szCs w:val="24"/>
        </w:rPr>
        <w:t>option,</w:t>
      </w:r>
      <w:r w:rsidR="00372A4F" w:rsidRPr="00FA03D7">
        <w:rPr>
          <w:rFonts w:ascii="Verdana" w:hAnsi="Verdana" w:cs="Arial"/>
          <w:sz w:val="24"/>
          <w:szCs w:val="24"/>
        </w:rPr>
        <w:t xml:space="preserve"> the total amount of funding allocated will be </w:t>
      </w:r>
      <w:r w:rsidR="00E36311" w:rsidRPr="00FA03D7">
        <w:rPr>
          <w:rFonts w:ascii="Verdana" w:hAnsi="Verdana" w:cs="Arial"/>
          <w:sz w:val="24"/>
          <w:szCs w:val="24"/>
        </w:rPr>
        <w:t>£</w:t>
      </w:r>
      <w:r w:rsidR="00B943B7" w:rsidRPr="00FA03D7">
        <w:rPr>
          <w:rFonts w:ascii="Verdana" w:hAnsi="Verdana" w:cs="Arial"/>
          <w:sz w:val="24"/>
          <w:szCs w:val="24"/>
        </w:rPr>
        <w:t>542,326</w:t>
      </w:r>
    </w:p>
    <w:p w14:paraId="3996ADCD" w14:textId="2A57E5AB" w:rsidR="00751359" w:rsidRPr="00FA03D7" w:rsidRDefault="00D17904" w:rsidP="007F2B45">
      <w:pPr>
        <w:pStyle w:val="ListParagraph"/>
        <w:numPr>
          <w:ilvl w:val="1"/>
          <w:numId w:val="18"/>
        </w:numPr>
        <w:spacing w:after="0" w:line="360" w:lineRule="auto"/>
        <w:ind w:left="851" w:hanging="851"/>
        <w:jc w:val="both"/>
        <w:rPr>
          <w:rFonts w:ascii="Verdana" w:hAnsi="Verdana" w:cs="Arial"/>
          <w:b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Available funding in falling rolls is</w:t>
      </w:r>
      <w:r w:rsidR="00B943B7" w:rsidRPr="00FA03D7">
        <w:rPr>
          <w:rFonts w:ascii="Verdana" w:hAnsi="Verdana" w:cs="Arial"/>
          <w:sz w:val="24"/>
          <w:szCs w:val="24"/>
        </w:rPr>
        <w:t xml:space="preserve"> </w:t>
      </w:r>
      <w:r w:rsidR="009E11FD" w:rsidRPr="00FA03D7">
        <w:rPr>
          <w:rFonts w:ascii="Verdana" w:hAnsi="Verdana" w:cs="Arial"/>
          <w:sz w:val="24"/>
          <w:szCs w:val="24"/>
        </w:rPr>
        <w:t>£</w:t>
      </w:r>
      <w:r w:rsidR="00E36311" w:rsidRPr="00FA03D7">
        <w:rPr>
          <w:rFonts w:ascii="Verdana" w:hAnsi="Verdana" w:cs="Arial"/>
          <w:sz w:val="24"/>
          <w:szCs w:val="24"/>
        </w:rPr>
        <w:t>450k</w:t>
      </w:r>
      <w:r w:rsidR="009E11FD" w:rsidRPr="00FA03D7">
        <w:rPr>
          <w:rFonts w:ascii="Verdana" w:hAnsi="Verdana" w:cs="Arial"/>
          <w:sz w:val="24"/>
          <w:szCs w:val="24"/>
        </w:rPr>
        <w:t xml:space="preserve"> leaving a shortfall of £</w:t>
      </w:r>
      <w:r w:rsidR="00B943B7" w:rsidRPr="00FA03D7">
        <w:rPr>
          <w:rFonts w:ascii="Verdana" w:hAnsi="Verdana" w:cs="Arial"/>
          <w:sz w:val="24"/>
          <w:szCs w:val="24"/>
        </w:rPr>
        <w:t>92</w:t>
      </w:r>
      <w:r w:rsidR="009E11FD" w:rsidRPr="00FA03D7">
        <w:rPr>
          <w:rFonts w:ascii="Verdana" w:hAnsi="Verdana" w:cs="Arial"/>
          <w:sz w:val="24"/>
          <w:szCs w:val="24"/>
        </w:rPr>
        <w:t>k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="00B943B7" w:rsidRPr="00FA03D7">
        <w:rPr>
          <w:rFonts w:ascii="Verdana" w:hAnsi="Verdana" w:cs="Arial"/>
          <w:sz w:val="24"/>
          <w:szCs w:val="24"/>
        </w:rPr>
        <w:t xml:space="preserve">The authority </w:t>
      </w:r>
      <w:r w:rsidR="003C4B48" w:rsidRPr="00FA03D7">
        <w:rPr>
          <w:rFonts w:ascii="Verdana" w:hAnsi="Verdana" w:cs="Arial"/>
          <w:sz w:val="24"/>
          <w:szCs w:val="24"/>
        </w:rPr>
        <w:t>recommends</w:t>
      </w:r>
      <w:r w:rsidR="00B943B7" w:rsidRPr="00FA03D7">
        <w:rPr>
          <w:rFonts w:ascii="Verdana" w:hAnsi="Verdana" w:cs="Arial"/>
          <w:sz w:val="24"/>
          <w:szCs w:val="24"/>
        </w:rPr>
        <w:t xml:space="preserve"> uplifting the threshold for eligibility to 6% to lower the shortfall in funding. </w:t>
      </w:r>
    </w:p>
    <w:p w14:paraId="64966FBB" w14:textId="77777777" w:rsidR="00B453C6" w:rsidRPr="00B453C6" w:rsidRDefault="00B453C6" w:rsidP="004851CF">
      <w:pPr>
        <w:pStyle w:val="ListParagraph"/>
        <w:tabs>
          <w:tab w:val="left" w:pos="851"/>
        </w:tabs>
        <w:spacing w:after="0" w:line="360" w:lineRule="auto"/>
        <w:ind w:left="862"/>
        <w:rPr>
          <w:rFonts w:ascii="Verdana" w:hAnsi="Verdana" w:cs="Arial"/>
          <w:sz w:val="24"/>
          <w:szCs w:val="24"/>
        </w:rPr>
      </w:pPr>
    </w:p>
    <w:p w14:paraId="7A49461A" w14:textId="04F709F3" w:rsidR="00751359" w:rsidRPr="009E1791" w:rsidRDefault="00AF70C3" w:rsidP="004851CF">
      <w:pPr>
        <w:tabs>
          <w:tab w:val="left" w:pos="851"/>
        </w:tabs>
        <w:spacing w:after="0" w:line="360" w:lineRule="auto"/>
        <w:ind w:left="851" w:hanging="851"/>
        <w:rPr>
          <w:rFonts w:cstheme="minorHAnsi"/>
          <w:b/>
          <w:sz w:val="24"/>
        </w:rPr>
      </w:pPr>
      <w:bookmarkStart w:id="0" w:name="_GoBack"/>
      <w:r w:rsidRPr="009E1791">
        <w:rPr>
          <w:rFonts w:cstheme="minorHAnsi"/>
          <w:b/>
          <w:sz w:val="24"/>
        </w:rPr>
        <w:t>Table 10</w:t>
      </w:r>
      <w:r w:rsidR="00120F27" w:rsidRPr="009E1791">
        <w:rPr>
          <w:rFonts w:cstheme="minorHAnsi"/>
          <w:b/>
          <w:sz w:val="24"/>
        </w:rPr>
        <w:t>: Eligible schools with falling rolls above 5%.</w:t>
      </w:r>
    </w:p>
    <w:tbl>
      <w:tblPr>
        <w:tblW w:w="9756" w:type="dxa"/>
        <w:tblLook w:val="04A0" w:firstRow="1" w:lastRow="0" w:firstColumn="1" w:lastColumn="0" w:noHBand="0" w:noVBand="1"/>
      </w:tblPr>
      <w:tblGrid>
        <w:gridCol w:w="4929"/>
        <w:gridCol w:w="623"/>
        <w:gridCol w:w="1013"/>
        <w:gridCol w:w="1039"/>
        <w:gridCol w:w="884"/>
        <w:gridCol w:w="1268"/>
      </w:tblGrid>
      <w:tr w:rsidR="00E36311" w:rsidRPr="00E36311" w14:paraId="6404B1CB" w14:textId="77777777" w:rsidTr="00E36311">
        <w:trPr>
          <w:trHeight w:val="10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bookmarkEnd w:id="0"/>
          <w:p w14:paraId="7695ED6D" w14:textId="77777777" w:rsidR="00E36311" w:rsidRPr="00E36311" w:rsidRDefault="00E36311" w:rsidP="00E36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E36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School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0C275B1" w14:textId="77777777" w:rsidR="00E36311" w:rsidRPr="00E36311" w:rsidRDefault="00E36311" w:rsidP="00E36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E36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NOR Oct 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29F452" w14:textId="77777777" w:rsidR="00E36311" w:rsidRPr="00E36311" w:rsidRDefault="00E36311" w:rsidP="00E36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E36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NOR Oct 16 - Final APT 15/12/16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8ED2B8" w14:textId="77777777" w:rsidR="00E36311" w:rsidRPr="00E36311" w:rsidRDefault="00E36311" w:rsidP="00E36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E36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Difference Final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36AA17" w14:textId="77777777" w:rsidR="00E36311" w:rsidRPr="00E36311" w:rsidRDefault="00E36311" w:rsidP="00E36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E36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Variance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283EF9" w14:textId="77777777" w:rsidR="00E36311" w:rsidRPr="00E36311" w:rsidRDefault="00E36311" w:rsidP="00E36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E36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Funding based in AWPU per pupil</w:t>
            </w:r>
          </w:p>
        </w:tc>
      </w:tr>
      <w:tr w:rsidR="00B943B7" w:rsidRPr="00E36311" w14:paraId="2FF959D8" w14:textId="77777777" w:rsidTr="00B943B7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25A2B2" w14:textId="419DD200" w:rsidR="00B943B7" w:rsidRPr="00B943B7" w:rsidRDefault="00B943B7" w:rsidP="00B94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Paddington Green Primary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DF5A5B" w14:textId="0FE4C20F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A5125" w14:textId="41AE854C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7A41F" w14:textId="3265359D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D0357F" w14:textId="2F54618B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-18.3%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A102E9" w14:textId="48F32054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£199,436.16</w:t>
            </w:r>
          </w:p>
        </w:tc>
      </w:tr>
      <w:tr w:rsidR="00B943B7" w:rsidRPr="00E36311" w14:paraId="583A80DA" w14:textId="77777777" w:rsidTr="00B943B7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ED9DC1" w14:textId="6136F0D0" w:rsidR="00B943B7" w:rsidRPr="00B943B7" w:rsidRDefault="00B943B7" w:rsidP="00B94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BURDETT COUTTS &amp; TOWNSHEND FOUNDATION CE VA 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C9B15B" w14:textId="78B9E49A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5CB66" w14:textId="72882CEA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8CBA4" w14:textId="66CE09EB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292645" w14:textId="2B5E1190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-10.8%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E2125" w14:textId="40FABCB8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£108,465.28</w:t>
            </w:r>
          </w:p>
        </w:tc>
      </w:tr>
      <w:tr w:rsidR="00B943B7" w:rsidRPr="00E36311" w14:paraId="680A0DF0" w14:textId="77777777" w:rsidTr="00B943B7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6E0110" w14:textId="5FBE5547" w:rsidR="00B943B7" w:rsidRPr="00B943B7" w:rsidRDefault="00B943B7" w:rsidP="00B94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St.  Edward's Catholic Primary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2BA2CC" w14:textId="0DAC24A9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139BC" w14:textId="4E844D51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E0C207" w14:textId="7004CE44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80737D" w14:textId="154D0765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-8.0%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DB604B" w14:textId="6662E2C0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£101,467.52</w:t>
            </w:r>
          </w:p>
        </w:tc>
      </w:tr>
      <w:tr w:rsidR="00B943B7" w:rsidRPr="00E36311" w14:paraId="74B121A0" w14:textId="77777777" w:rsidTr="00B943B7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59138" w14:textId="2984C597" w:rsidR="00B943B7" w:rsidRPr="00B943B7" w:rsidRDefault="00B943B7" w:rsidP="00B94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 xml:space="preserve">St George's(Hanover </w:t>
            </w:r>
            <w:proofErr w:type="spellStart"/>
            <w:r w:rsidRPr="00B943B7">
              <w:rPr>
                <w:sz w:val="16"/>
                <w:szCs w:val="16"/>
              </w:rPr>
              <w:t>Sq</w:t>
            </w:r>
            <w:proofErr w:type="spellEnd"/>
            <w:r w:rsidRPr="00B943B7">
              <w:rPr>
                <w:sz w:val="16"/>
                <w:szCs w:val="16"/>
              </w:rPr>
              <w:t>)School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60F3CE" w14:textId="51446676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5CCE0" w14:textId="664BE598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417933" w14:textId="7A4B648B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D392D6" w14:textId="43F54389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-8.4%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B4F893" w14:textId="5623254D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£59,480.96</w:t>
            </w:r>
          </w:p>
        </w:tc>
      </w:tr>
      <w:tr w:rsidR="00B943B7" w:rsidRPr="00E36311" w14:paraId="65883AAA" w14:textId="77777777" w:rsidTr="00B943B7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63EBA3" w14:textId="3F7AEE8E" w:rsidR="00B943B7" w:rsidRPr="00B943B7" w:rsidRDefault="00B943B7" w:rsidP="00B94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ST STEPHENS CE PRIMARY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53B76F" w14:textId="32F19EC7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B11AC2" w14:textId="12F6CE35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5C3AA7" w14:textId="4EC41F42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2D8A9" w14:textId="18A0C97A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-5.1%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7E8384" w14:textId="11FAD0A5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£31,489.92</w:t>
            </w:r>
          </w:p>
        </w:tc>
      </w:tr>
      <w:tr w:rsidR="00B943B7" w:rsidRPr="00E36311" w14:paraId="0E938D4C" w14:textId="77777777" w:rsidTr="00B943B7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3F8930" w14:textId="7FEABD55" w:rsidR="00B943B7" w:rsidRPr="00B943B7" w:rsidRDefault="00B943B7" w:rsidP="00B94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Churchill Gardens Primary Academy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7ED2D3" w14:textId="0457D080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6AC112" w14:textId="210AFA56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7D8FE6" w14:textId="54609010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066BE2" w14:textId="2F35F3CE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-5.4%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65845B" w14:textId="26DF86C4" w:rsidR="00B943B7" w:rsidRPr="00B943B7" w:rsidRDefault="00B943B7" w:rsidP="00B943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43B7">
              <w:rPr>
                <w:sz w:val="16"/>
                <w:szCs w:val="16"/>
              </w:rPr>
              <w:t>£41,986.56</w:t>
            </w:r>
          </w:p>
        </w:tc>
      </w:tr>
      <w:tr w:rsidR="00E36311" w:rsidRPr="00E36311" w14:paraId="67F3D72A" w14:textId="77777777" w:rsidTr="00E36311">
        <w:trPr>
          <w:trHeight w:val="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0A74" w14:textId="77777777" w:rsidR="00E36311" w:rsidRPr="00E36311" w:rsidRDefault="00E36311" w:rsidP="00E36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BD50" w14:textId="77777777" w:rsidR="00E36311" w:rsidRPr="00E36311" w:rsidRDefault="00E36311" w:rsidP="00E3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703E" w14:textId="77777777" w:rsidR="00E36311" w:rsidRPr="00E36311" w:rsidRDefault="00E36311" w:rsidP="00E3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CD9E" w14:textId="77777777" w:rsidR="00E36311" w:rsidRPr="00E36311" w:rsidRDefault="00E36311" w:rsidP="00E3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1118" w14:textId="77777777" w:rsidR="00E36311" w:rsidRPr="00E36311" w:rsidRDefault="00E36311" w:rsidP="00E3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8BB" w14:textId="53E5ED7B" w:rsidR="00E36311" w:rsidRPr="00E36311" w:rsidRDefault="00B943B7" w:rsidP="00E36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en-GB"/>
              </w:rPr>
            </w:pPr>
            <w:r w:rsidRPr="00B943B7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en-GB"/>
              </w:rPr>
              <w:t>£542,326.40</w:t>
            </w:r>
          </w:p>
        </w:tc>
      </w:tr>
    </w:tbl>
    <w:p w14:paraId="5BDCD1E0" w14:textId="77777777" w:rsidR="001845FB" w:rsidRPr="00E36311" w:rsidRDefault="001845FB" w:rsidP="00677BA2">
      <w:pPr>
        <w:jc w:val="both"/>
        <w:rPr>
          <w:rFonts w:ascii="Verdana" w:hAnsi="Verdana" w:cs="Arial"/>
          <w:sz w:val="20"/>
          <w:szCs w:val="24"/>
        </w:rPr>
      </w:pPr>
    </w:p>
    <w:p w14:paraId="416C53CB" w14:textId="77777777" w:rsidR="00B04222" w:rsidRDefault="00B04222">
      <w:pPr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br w:type="page"/>
      </w:r>
    </w:p>
    <w:p w14:paraId="73D76F48" w14:textId="77777777" w:rsidR="001845FB" w:rsidRDefault="001845FB" w:rsidP="00A6133B">
      <w:pPr>
        <w:pStyle w:val="ListParagraph"/>
        <w:jc w:val="both"/>
        <w:rPr>
          <w:rFonts w:ascii="Verdana" w:hAnsi="Verdana" w:cs="Arial"/>
          <w:szCs w:val="24"/>
        </w:rPr>
      </w:pPr>
    </w:p>
    <w:p w14:paraId="2AD50383" w14:textId="77777777" w:rsidR="00EE6181" w:rsidRPr="00FA03D7" w:rsidRDefault="00EE6181" w:rsidP="007F2B45">
      <w:pPr>
        <w:pStyle w:val="ListParagraph"/>
        <w:numPr>
          <w:ilvl w:val="0"/>
          <w:numId w:val="25"/>
        </w:numPr>
        <w:spacing w:after="0" w:line="360" w:lineRule="auto"/>
        <w:ind w:left="851" w:hanging="851"/>
        <w:jc w:val="both"/>
        <w:rPr>
          <w:rFonts w:ascii="Verdana" w:hAnsi="Verdana" w:cs="Arial"/>
          <w:b/>
          <w:sz w:val="24"/>
          <w:szCs w:val="24"/>
        </w:rPr>
      </w:pPr>
      <w:r w:rsidRPr="00FA03D7">
        <w:rPr>
          <w:rFonts w:ascii="Verdana" w:hAnsi="Verdana" w:cs="Arial"/>
          <w:b/>
          <w:sz w:val="24"/>
          <w:szCs w:val="24"/>
        </w:rPr>
        <w:t>Conclusions</w:t>
      </w:r>
    </w:p>
    <w:p w14:paraId="48F470DC" w14:textId="77777777" w:rsidR="001D1997" w:rsidRPr="00FA03D7" w:rsidRDefault="001D1997" w:rsidP="007F2B45">
      <w:pPr>
        <w:pStyle w:val="ListParagraph"/>
        <w:numPr>
          <w:ilvl w:val="1"/>
          <w:numId w:val="25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The conclusion from this report can be summarised as follows:</w:t>
      </w:r>
    </w:p>
    <w:p w14:paraId="649A9192" w14:textId="77777777" w:rsidR="00805420" w:rsidRPr="00FA03D7" w:rsidRDefault="00C1074D" w:rsidP="009B003A">
      <w:pPr>
        <w:pStyle w:val="ListParagraph"/>
        <w:numPr>
          <w:ilvl w:val="2"/>
          <w:numId w:val="25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2017/18</w:t>
      </w:r>
      <w:r w:rsidR="00DD49E4" w:rsidRPr="00FA03D7">
        <w:rPr>
          <w:rFonts w:ascii="Verdana" w:hAnsi="Verdana" w:cs="Arial"/>
          <w:sz w:val="24"/>
          <w:szCs w:val="24"/>
        </w:rPr>
        <w:t xml:space="preserve"> DSG funding for Schools Block ha</w:t>
      </w:r>
      <w:r w:rsidR="00805420" w:rsidRPr="00FA03D7">
        <w:rPr>
          <w:rFonts w:ascii="Verdana" w:hAnsi="Verdana" w:cs="Arial"/>
          <w:sz w:val="24"/>
          <w:szCs w:val="24"/>
        </w:rPr>
        <w:t xml:space="preserve">s been confirmed at £112.86m, a decrease of (-0.40%).   </w:t>
      </w:r>
    </w:p>
    <w:p w14:paraId="18CF6C3A" w14:textId="77777777" w:rsidR="00805420" w:rsidRPr="00FA03D7" w:rsidRDefault="00DD49E4" w:rsidP="009B003A">
      <w:pPr>
        <w:pStyle w:val="ListParagraph"/>
        <w:numPr>
          <w:ilvl w:val="2"/>
          <w:numId w:val="25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 xml:space="preserve">The </w:t>
      </w:r>
      <w:r w:rsidR="00570599" w:rsidRPr="00FA03D7">
        <w:rPr>
          <w:rFonts w:ascii="Verdana" w:hAnsi="Verdana" w:cs="Arial"/>
          <w:sz w:val="24"/>
          <w:szCs w:val="24"/>
        </w:rPr>
        <w:t>Schools Block</w:t>
      </w:r>
      <w:r w:rsidR="00805420" w:rsidRPr="00FA03D7">
        <w:rPr>
          <w:rFonts w:ascii="Verdana" w:hAnsi="Verdana" w:cs="Arial"/>
          <w:sz w:val="24"/>
          <w:szCs w:val="24"/>
        </w:rPr>
        <w:t xml:space="preserve"> has</w:t>
      </w:r>
      <w:r w:rsidRPr="00FA03D7">
        <w:rPr>
          <w:rFonts w:ascii="Verdana" w:hAnsi="Verdana" w:cs="Arial"/>
          <w:sz w:val="24"/>
          <w:szCs w:val="24"/>
        </w:rPr>
        <w:t xml:space="preserve"> </w:t>
      </w:r>
      <w:r w:rsidR="00C1074D" w:rsidRPr="00FA03D7">
        <w:rPr>
          <w:rFonts w:ascii="Verdana" w:hAnsi="Verdana" w:cs="Arial"/>
          <w:sz w:val="24"/>
          <w:szCs w:val="24"/>
        </w:rPr>
        <w:t>decrease</w:t>
      </w:r>
      <w:r w:rsidR="00805420" w:rsidRPr="00FA03D7">
        <w:rPr>
          <w:rFonts w:ascii="Verdana" w:hAnsi="Verdana" w:cs="Arial"/>
          <w:sz w:val="24"/>
          <w:szCs w:val="24"/>
        </w:rPr>
        <w:t xml:space="preserve">d by </w:t>
      </w:r>
      <w:r w:rsidRPr="00FA03D7">
        <w:rPr>
          <w:rFonts w:ascii="Verdana" w:hAnsi="Verdana" w:cs="Arial"/>
          <w:sz w:val="24"/>
          <w:szCs w:val="24"/>
        </w:rPr>
        <w:t>£0.</w:t>
      </w:r>
      <w:r w:rsidR="00C1074D" w:rsidRPr="00FA03D7">
        <w:rPr>
          <w:rFonts w:ascii="Verdana" w:hAnsi="Verdana" w:cs="Arial"/>
          <w:sz w:val="24"/>
          <w:szCs w:val="24"/>
        </w:rPr>
        <w:t>45m</w:t>
      </w:r>
      <w:r w:rsidRPr="00FA03D7">
        <w:rPr>
          <w:rFonts w:ascii="Verdana" w:hAnsi="Verdana" w:cs="Arial"/>
          <w:sz w:val="24"/>
          <w:szCs w:val="24"/>
        </w:rPr>
        <w:t xml:space="preserve"> </w:t>
      </w:r>
      <w:r w:rsidR="00805420" w:rsidRPr="00FA03D7">
        <w:rPr>
          <w:rFonts w:ascii="Verdana" w:hAnsi="Verdana" w:cs="Arial"/>
          <w:sz w:val="24"/>
          <w:szCs w:val="24"/>
        </w:rPr>
        <w:t xml:space="preserve">(+2.19%) in comparison with </w:t>
      </w:r>
      <w:r w:rsidR="00C1074D" w:rsidRPr="00FA03D7">
        <w:rPr>
          <w:rFonts w:ascii="Verdana" w:hAnsi="Verdana" w:cs="Arial"/>
          <w:sz w:val="24"/>
          <w:szCs w:val="24"/>
        </w:rPr>
        <w:t>2016/17</w:t>
      </w:r>
      <w:r w:rsidR="00805420" w:rsidRPr="00FA03D7">
        <w:rPr>
          <w:rFonts w:ascii="Verdana" w:hAnsi="Verdana" w:cs="Arial"/>
          <w:sz w:val="24"/>
          <w:szCs w:val="24"/>
        </w:rPr>
        <w:t xml:space="preserve"> funding levels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6877ACE8" w14:textId="77777777" w:rsidR="00DD49E4" w:rsidRPr="00FA03D7" w:rsidRDefault="00DD49E4" w:rsidP="009B003A">
      <w:pPr>
        <w:pStyle w:val="ListParagraph"/>
        <w:numPr>
          <w:ilvl w:val="2"/>
          <w:numId w:val="25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 xml:space="preserve">The </w:t>
      </w:r>
      <w:r w:rsidR="00570599" w:rsidRPr="00FA03D7">
        <w:rPr>
          <w:rFonts w:ascii="Verdana" w:hAnsi="Verdana" w:cs="Arial"/>
          <w:sz w:val="24"/>
          <w:szCs w:val="24"/>
        </w:rPr>
        <w:t>High Needs</w:t>
      </w:r>
      <w:r w:rsidR="00A423B1" w:rsidRPr="00FA03D7">
        <w:rPr>
          <w:rFonts w:ascii="Verdana" w:hAnsi="Verdana" w:cs="Arial"/>
          <w:sz w:val="24"/>
          <w:szCs w:val="24"/>
        </w:rPr>
        <w:t xml:space="preserve"> Block</w:t>
      </w:r>
      <w:r w:rsidRPr="00FA03D7">
        <w:rPr>
          <w:rFonts w:ascii="Verdana" w:hAnsi="Verdana" w:cs="Arial"/>
          <w:sz w:val="24"/>
          <w:szCs w:val="24"/>
        </w:rPr>
        <w:t xml:space="preserve"> is confirmed </w:t>
      </w:r>
      <w:r w:rsidR="00805420" w:rsidRPr="00FA03D7">
        <w:rPr>
          <w:rFonts w:ascii="Verdana" w:hAnsi="Verdana" w:cs="Arial"/>
          <w:sz w:val="24"/>
          <w:szCs w:val="24"/>
        </w:rPr>
        <w:t>at</w:t>
      </w:r>
      <w:r w:rsidRPr="00FA03D7">
        <w:rPr>
          <w:rFonts w:ascii="Verdana" w:hAnsi="Verdana" w:cs="Arial"/>
          <w:sz w:val="24"/>
          <w:szCs w:val="24"/>
        </w:rPr>
        <w:t xml:space="preserve"> £2</w:t>
      </w:r>
      <w:r w:rsidR="00C1074D" w:rsidRPr="00FA03D7">
        <w:rPr>
          <w:rFonts w:ascii="Verdana" w:hAnsi="Verdana" w:cs="Arial"/>
          <w:sz w:val="24"/>
          <w:szCs w:val="24"/>
        </w:rPr>
        <w:t>4.76m</w:t>
      </w:r>
      <w:r w:rsidRPr="00FA03D7">
        <w:rPr>
          <w:rFonts w:ascii="Verdana" w:hAnsi="Verdana" w:cs="Arial"/>
          <w:sz w:val="24"/>
          <w:szCs w:val="24"/>
        </w:rPr>
        <w:t>, a</w:t>
      </w:r>
      <w:r w:rsidR="00805420" w:rsidRPr="00FA03D7">
        <w:rPr>
          <w:rFonts w:ascii="Verdana" w:hAnsi="Verdana" w:cs="Arial"/>
          <w:sz w:val="24"/>
          <w:szCs w:val="24"/>
        </w:rPr>
        <w:t xml:space="preserve"> net</w:t>
      </w:r>
      <w:r w:rsidRPr="00FA03D7">
        <w:rPr>
          <w:rFonts w:ascii="Verdana" w:hAnsi="Verdana" w:cs="Arial"/>
          <w:sz w:val="24"/>
          <w:szCs w:val="24"/>
        </w:rPr>
        <w:t xml:space="preserve"> </w:t>
      </w:r>
      <w:r w:rsidR="00805420" w:rsidRPr="00FA03D7">
        <w:rPr>
          <w:rFonts w:ascii="Verdana" w:hAnsi="Verdana" w:cs="Arial"/>
          <w:sz w:val="24"/>
          <w:szCs w:val="24"/>
        </w:rPr>
        <w:t xml:space="preserve">increase of </w:t>
      </w:r>
      <w:r w:rsidRPr="00FA03D7">
        <w:rPr>
          <w:rFonts w:ascii="Verdana" w:hAnsi="Verdana" w:cs="Arial"/>
          <w:sz w:val="24"/>
          <w:szCs w:val="24"/>
        </w:rPr>
        <w:t>£</w:t>
      </w:r>
      <w:r w:rsidR="00C1074D" w:rsidRPr="00FA03D7">
        <w:rPr>
          <w:rFonts w:ascii="Verdana" w:hAnsi="Verdana" w:cs="Arial"/>
          <w:sz w:val="24"/>
          <w:szCs w:val="24"/>
        </w:rPr>
        <w:t>0.53</w:t>
      </w:r>
      <w:r w:rsidRPr="00FA03D7">
        <w:rPr>
          <w:rFonts w:ascii="Verdana" w:hAnsi="Verdana" w:cs="Arial"/>
          <w:sz w:val="24"/>
          <w:szCs w:val="24"/>
        </w:rPr>
        <w:t>m</w:t>
      </w:r>
      <w:r w:rsidR="00805420" w:rsidRPr="00FA03D7">
        <w:rPr>
          <w:rFonts w:ascii="Verdana" w:hAnsi="Verdana" w:cs="Arial"/>
          <w:sz w:val="24"/>
          <w:szCs w:val="24"/>
        </w:rPr>
        <w:t xml:space="preserve"> (+2.19%)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52313731" w14:textId="77777777" w:rsidR="00DD49E4" w:rsidRPr="00FA03D7" w:rsidRDefault="00DD49E4" w:rsidP="009B003A">
      <w:pPr>
        <w:pStyle w:val="ListParagraph"/>
        <w:numPr>
          <w:ilvl w:val="2"/>
          <w:numId w:val="25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The</w:t>
      </w:r>
      <w:r w:rsidR="00954366" w:rsidRPr="00FA03D7">
        <w:rPr>
          <w:rFonts w:ascii="Verdana" w:hAnsi="Verdana" w:cs="Arial"/>
          <w:sz w:val="24"/>
          <w:szCs w:val="24"/>
        </w:rPr>
        <w:t xml:space="preserve"> APT tool has now been issued by the DfE and</w:t>
      </w:r>
      <w:r w:rsidRPr="00FA03D7">
        <w:rPr>
          <w:rFonts w:ascii="Verdana" w:hAnsi="Verdana" w:cs="Arial"/>
          <w:sz w:val="24"/>
          <w:szCs w:val="24"/>
        </w:rPr>
        <w:t xml:space="preserve"> pre-populated with data from October </w:t>
      </w:r>
      <w:r w:rsidR="002E7CA6" w:rsidRPr="00FA03D7">
        <w:rPr>
          <w:rFonts w:ascii="Verdana" w:hAnsi="Verdana" w:cs="Arial"/>
          <w:sz w:val="24"/>
          <w:szCs w:val="24"/>
        </w:rPr>
        <w:t>2016</w:t>
      </w:r>
      <w:r w:rsidRPr="00FA03D7">
        <w:rPr>
          <w:rFonts w:ascii="Verdana" w:hAnsi="Verdana" w:cs="Arial"/>
          <w:sz w:val="24"/>
          <w:szCs w:val="24"/>
        </w:rPr>
        <w:t xml:space="preserve"> census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Pr="00FA03D7">
        <w:rPr>
          <w:rFonts w:ascii="Verdana" w:hAnsi="Verdana" w:cs="Arial"/>
          <w:sz w:val="24"/>
          <w:szCs w:val="24"/>
        </w:rPr>
        <w:t xml:space="preserve">Appendix </w:t>
      </w:r>
      <w:r w:rsidR="00E136FA" w:rsidRPr="00FA03D7">
        <w:rPr>
          <w:rFonts w:ascii="Verdana" w:hAnsi="Verdana" w:cs="Arial"/>
          <w:sz w:val="24"/>
          <w:szCs w:val="24"/>
        </w:rPr>
        <w:t>A</w:t>
      </w:r>
      <w:r w:rsidRPr="00FA03D7">
        <w:rPr>
          <w:rFonts w:ascii="Verdana" w:hAnsi="Verdana" w:cs="Arial"/>
          <w:sz w:val="24"/>
          <w:szCs w:val="24"/>
        </w:rPr>
        <w:t xml:space="preserve"> provides </w:t>
      </w:r>
      <w:r w:rsidR="00954366" w:rsidRPr="00FA03D7">
        <w:rPr>
          <w:rFonts w:ascii="Verdana" w:hAnsi="Verdana" w:cs="Arial"/>
          <w:sz w:val="24"/>
          <w:szCs w:val="24"/>
        </w:rPr>
        <w:t>the Individual Budget Share calculations</w:t>
      </w:r>
      <w:r w:rsidRPr="00FA03D7">
        <w:rPr>
          <w:rFonts w:ascii="Verdana" w:hAnsi="Verdana" w:cs="Arial"/>
          <w:sz w:val="24"/>
          <w:szCs w:val="24"/>
        </w:rPr>
        <w:t xml:space="preserve"> on a school by school basis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</w:p>
    <w:p w14:paraId="451F36C1" w14:textId="55EE259B" w:rsidR="00DD49E4" w:rsidRPr="00FA03D7" w:rsidRDefault="00DD49E4" w:rsidP="00E56B32">
      <w:pPr>
        <w:pStyle w:val="ListParagraph"/>
        <w:numPr>
          <w:ilvl w:val="2"/>
          <w:numId w:val="25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 xml:space="preserve">The 2016/17 </w:t>
      </w:r>
      <w:r w:rsidR="00954366" w:rsidRPr="00FA03D7">
        <w:rPr>
          <w:rFonts w:ascii="Verdana" w:hAnsi="Verdana" w:cs="Arial"/>
          <w:sz w:val="24"/>
          <w:szCs w:val="24"/>
        </w:rPr>
        <w:t>total allocation to schools is</w:t>
      </w:r>
      <w:r w:rsidRPr="00FA03D7">
        <w:rPr>
          <w:rFonts w:ascii="Verdana" w:hAnsi="Verdana" w:cs="Arial"/>
          <w:sz w:val="24"/>
          <w:szCs w:val="24"/>
        </w:rPr>
        <w:t xml:space="preserve"> </w:t>
      </w:r>
      <w:r w:rsidR="00E36311" w:rsidRPr="00FA03D7">
        <w:rPr>
          <w:rFonts w:ascii="Verdana" w:hAnsi="Verdana" w:cs="Arial"/>
          <w:sz w:val="24"/>
          <w:szCs w:val="24"/>
        </w:rPr>
        <w:t>£</w:t>
      </w:r>
      <w:r w:rsidR="00E56B32" w:rsidRPr="00FA03D7">
        <w:rPr>
          <w:rFonts w:ascii="Verdana" w:hAnsi="Verdana" w:cs="Arial"/>
          <w:sz w:val="24"/>
          <w:szCs w:val="24"/>
        </w:rPr>
        <w:t xml:space="preserve">110,454,812 </w:t>
      </w:r>
      <w:r w:rsidRPr="00FA03D7">
        <w:rPr>
          <w:rFonts w:ascii="Verdana" w:hAnsi="Verdana" w:cs="Arial"/>
          <w:sz w:val="24"/>
          <w:szCs w:val="24"/>
        </w:rPr>
        <w:t>and includes £</w:t>
      </w:r>
      <w:r w:rsidR="00E56B32" w:rsidRPr="00FA03D7">
        <w:rPr>
          <w:rFonts w:ascii="Verdana" w:hAnsi="Verdana" w:cs="Arial"/>
          <w:sz w:val="24"/>
          <w:szCs w:val="24"/>
        </w:rPr>
        <w:t xml:space="preserve">1,665,876 </w:t>
      </w:r>
      <w:r w:rsidRPr="00FA03D7">
        <w:rPr>
          <w:rFonts w:ascii="Verdana" w:hAnsi="Verdana" w:cs="Arial"/>
          <w:sz w:val="24"/>
          <w:szCs w:val="24"/>
        </w:rPr>
        <w:t xml:space="preserve">of </w:t>
      </w:r>
      <w:r w:rsidR="00DF3A0B" w:rsidRPr="00FA03D7">
        <w:rPr>
          <w:rFonts w:ascii="Verdana" w:hAnsi="Verdana" w:cs="Arial"/>
          <w:sz w:val="24"/>
          <w:szCs w:val="24"/>
        </w:rPr>
        <w:t>Minimum Funding Guarantee (MFG)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Pr="00FA03D7">
        <w:rPr>
          <w:rFonts w:ascii="Verdana" w:hAnsi="Verdana" w:cs="Arial"/>
          <w:sz w:val="24"/>
          <w:szCs w:val="24"/>
        </w:rPr>
        <w:t>It should be noted that no capping and scaling has been applied.</w:t>
      </w:r>
    </w:p>
    <w:p w14:paraId="59846FCA" w14:textId="056AB6EE" w:rsidR="00DD49E4" w:rsidRPr="00FA03D7" w:rsidRDefault="00DF3A0B" w:rsidP="009B003A">
      <w:pPr>
        <w:pStyle w:val="ListParagraph"/>
        <w:numPr>
          <w:ilvl w:val="2"/>
          <w:numId w:val="25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A</w:t>
      </w:r>
      <w:r w:rsidR="00DD49E4" w:rsidRPr="00FA03D7">
        <w:rPr>
          <w:rFonts w:ascii="Verdana" w:hAnsi="Verdana" w:cs="Arial"/>
          <w:sz w:val="24"/>
          <w:szCs w:val="24"/>
        </w:rPr>
        <w:t xml:space="preserve"> sum of £0.</w:t>
      </w:r>
      <w:r w:rsidR="00E36311" w:rsidRPr="00FA03D7">
        <w:rPr>
          <w:rFonts w:ascii="Verdana" w:hAnsi="Verdana" w:cs="Arial"/>
          <w:sz w:val="24"/>
          <w:szCs w:val="24"/>
        </w:rPr>
        <w:t>45</w:t>
      </w:r>
      <w:r w:rsidR="00DD49E4" w:rsidRPr="00FA03D7">
        <w:rPr>
          <w:rFonts w:ascii="Verdana" w:hAnsi="Verdana" w:cs="Arial"/>
          <w:sz w:val="24"/>
          <w:szCs w:val="24"/>
        </w:rPr>
        <w:t>m has been set aside for falling rolls</w:t>
      </w:r>
      <w:r w:rsidR="004B3FCF" w:rsidRPr="00FA03D7">
        <w:rPr>
          <w:rFonts w:ascii="Verdana" w:hAnsi="Verdana" w:cs="Arial"/>
          <w:sz w:val="24"/>
          <w:szCs w:val="24"/>
        </w:rPr>
        <w:t>.</w:t>
      </w:r>
    </w:p>
    <w:p w14:paraId="4313862D" w14:textId="248BF294" w:rsidR="00DD49E4" w:rsidRPr="00FA03D7" w:rsidRDefault="00E542DF" w:rsidP="009B003A">
      <w:pPr>
        <w:pStyle w:val="ListParagraph"/>
        <w:numPr>
          <w:ilvl w:val="2"/>
          <w:numId w:val="25"/>
        </w:numPr>
        <w:spacing w:after="0" w:line="360" w:lineRule="auto"/>
        <w:ind w:left="851" w:hanging="851"/>
        <w:jc w:val="both"/>
        <w:rPr>
          <w:rFonts w:ascii="Verdana" w:hAnsi="Verdana" w:cs="Arial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Up to date</w:t>
      </w:r>
      <w:r w:rsidR="00DD49E4" w:rsidRPr="00FA03D7">
        <w:rPr>
          <w:rFonts w:ascii="Verdana" w:hAnsi="Verdana" w:cs="Arial"/>
          <w:sz w:val="24"/>
          <w:szCs w:val="24"/>
        </w:rPr>
        <w:t xml:space="preserve"> National Non-Domestic Rates information is to be </w:t>
      </w:r>
      <w:r w:rsidRPr="00FA03D7">
        <w:rPr>
          <w:rFonts w:ascii="Verdana" w:hAnsi="Verdana" w:cs="Arial"/>
          <w:sz w:val="24"/>
          <w:szCs w:val="24"/>
        </w:rPr>
        <w:t>input</w:t>
      </w:r>
      <w:r w:rsidR="00DD49E4" w:rsidRPr="00FA03D7">
        <w:rPr>
          <w:rFonts w:ascii="Verdana" w:hAnsi="Verdana" w:cs="Arial"/>
          <w:sz w:val="24"/>
          <w:szCs w:val="24"/>
        </w:rPr>
        <w:t xml:space="preserve"> into the APT tool</w:t>
      </w:r>
      <w:r w:rsidRPr="00FA03D7">
        <w:rPr>
          <w:rFonts w:ascii="Verdana" w:hAnsi="Verdana" w:cs="Arial"/>
          <w:sz w:val="24"/>
          <w:szCs w:val="24"/>
        </w:rPr>
        <w:t xml:space="preserve"> when the information is available</w:t>
      </w:r>
      <w:r w:rsidR="00570599" w:rsidRPr="00FA03D7">
        <w:rPr>
          <w:rFonts w:ascii="Verdana" w:hAnsi="Verdana" w:cs="Arial"/>
          <w:sz w:val="24"/>
          <w:szCs w:val="24"/>
        </w:rPr>
        <w:t xml:space="preserve">.  </w:t>
      </w:r>
      <w:r w:rsidR="0033175C" w:rsidRPr="00FA03D7">
        <w:rPr>
          <w:rFonts w:ascii="Verdana" w:hAnsi="Verdana" w:cs="Arial"/>
          <w:sz w:val="24"/>
          <w:szCs w:val="24"/>
        </w:rPr>
        <w:t>An a</w:t>
      </w:r>
      <w:r w:rsidR="00891F69" w:rsidRPr="00FA03D7">
        <w:rPr>
          <w:rFonts w:ascii="Verdana" w:hAnsi="Verdana" w:cs="Arial"/>
          <w:sz w:val="24"/>
          <w:szCs w:val="24"/>
        </w:rPr>
        <w:t>ssumption</w:t>
      </w:r>
      <w:r w:rsidR="0033175C" w:rsidRPr="00FA03D7">
        <w:rPr>
          <w:rFonts w:ascii="Verdana" w:hAnsi="Verdana" w:cs="Arial"/>
          <w:sz w:val="24"/>
          <w:szCs w:val="24"/>
        </w:rPr>
        <w:t xml:space="preserve"> has</w:t>
      </w:r>
      <w:r w:rsidR="00891F69" w:rsidRPr="00FA03D7">
        <w:rPr>
          <w:rFonts w:ascii="Verdana" w:hAnsi="Verdana" w:cs="Arial"/>
          <w:sz w:val="24"/>
          <w:szCs w:val="24"/>
        </w:rPr>
        <w:t xml:space="preserve"> been made in the tool</w:t>
      </w:r>
      <w:r w:rsidR="00A423B1" w:rsidRPr="00FA03D7">
        <w:rPr>
          <w:rFonts w:ascii="Verdana" w:hAnsi="Verdana" w:cs="Arial"/>
          <w:sz w:val="24"/>
          <w:szCs w:val="24"/>
        </w:rPr>
        <w:t xml:space="preserve"> of an uplift by 25%</w:t>
      </w:r>
      <w:r w:rsidRPr="00FA03D7">
        <w:rPr>
          <w:rFonts w:ascii="Verdana" w:hAnsi="Verdana" w:cs="Arial"/>
          <w:sz w:val="24"/>
          <w:szCs w:val="24"/>
        </w:rPr>
        <w:t xml:space="preserve"> to provide an indicative budget in this report</w:t>
      </w:r>
      <w:r w:rsidR="00891F69" w:rsidRPr="00FA03D7">
        <w:rPr>
          <w:rFonts w:ascii="Verdana" w:hAnsi="Verdana" w:cs="Arial"/>
          <w:sz w:val="24"/>
          <w:szCs w:val="24"/>
        </w:rPr>
        <w:t>.</w:t>
      </w:r>
    </w:p>
    <w:p w14:paraId="5F0F4F67" w14:textId="77777777" w:rsidR="009A0C9B" w:rsidRPr="00FA03D7" w:rsidRDefault="009A0C9B" w:rsidP="007F2B45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69660133" w14:textId="77777777" w:rsidR="009A0C9B" w:rsidRPr="00FA03D7" w:rsidRDefault="009A0C9B" w:rsidP="007F2B45">
      <w:pPr>
        <w:pStyle w:val="ListParagraph"/>
        <w:numPr>
          <w:ilvl w:val="0"/>
          <w:numId w:val="25"/>
        </w:numPr>
        <w:spacing w:after="0" w:line="360" w:lineRule="auto"/>
        <w:ind w:left="851" w:hanging="851"/>
        <w:jc w:val="both"/>
        <w:rPr>
          <w:rFonts w:ascii="Verdana" w:hAnsi="Verdana" w:cs="Arial"/>
          <w:b/>
          <w:sz w:val="24"/>
          <w:szCs w:val="24"/>
        </w:rPr>
      </w:pPr>
      <w:r w:rsidRPr="00FA03D7">
        <w:rPr>
          <w:rFonts w:ascii="Verdana" w:hAnsi="Verdana" w:cs="Arial"/>
          <w:b/>
          <w:sz w:val="24"/>
          <w:szCs w:val="24"/>
        </w:rPr>
        <w:t xml:space="preserve">Recommendations </w:t>
      </w:r>
    </w:p>
    <w:p w14:paraId="4F89A37A" w14:textId="0310C43C" w:rsidR="006B48A2" w:rsidRPr="00FA03D7" w:rsidRDefault="004B3FCF" w:rsidP="004B3FCF">
      <w:pPr>
        <w:pStyle w:val="ListParagraph"/>
        <w:numPr>
          <w:ilvl w:val="1"/>
          <w:numId w:val="25"/>
        </w:numPr>
        <w:spacing w:after="0" w:line="360" w:lineRule="auto"/>
        <w:ind w:left="851" w:hanging="851"/>
        <w:jc w:val="both"/>
        <w:rPr>
          <w:rFonts w:ascii="Verdana" w:hAnsi="Verdana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 xml:space="preserve">To approve the submission of the APT tool for 2017/18 to the DfE. </w:t>
      </w:r>
    </w:p>
    <w:p w14:paraId="667B84B4" w14:textId="597F7C30" w:rsidR="004B3FCF" w:rsidRPr="00FA03D7" w:rsidRDefault="004B3FCF" w:rsidP="004B3FCF">
      <w:pPr>
        <w:pStyle w:val="ListParagraph"/>
        <w:numPr>
          <w:ilvl w:val="1"/>
          <w:numId w:val="25"/>
        </w:numPr>
        <w:spacing w:after="0" w:line="360" w:lineRule="auto"/>
        <w:ind w:left="851" w:hanging="851"/>
        <w:jc w:val="both"/>
        <w:rPr>
          <w:rFonts w:ascii="Verdana" w:hAnsi="Verdana"/>
          <w:sz w:val="24"/>
          <w:szCs w:val="24"/>
        </w:rPr>
      </w:pPr>
      <w:r w:rsidRPr="00FA03D7">
        <w:rPr>
          <w:rFonts w:ascii="Verdana" w:hAnsi="Verdana" w:cs="Arial"/>
          <w:sz w:val="24"/>
          <w:szCs w:val="24"/>
        </w:rPr>
        <w:t>To approve the falling rolls distribution methodology for 2017</w:t>
      </w:r>
      <w:r w:rsidR="0057361A">
        <w:rPr>
          <w:rFonts w:ascii="Verdana" w:hAnsi="Verdana" w:cs="Arial"/>
          <w:sz w:val="24"/>
          <w:szCs w:val="24"/>
        </w:rPr>
        <w:t>/</w:t>
      </w:r>
      <w:r w:rsidRPr="00FA03D7">
        <w:rPr>
          <w:rFonts w:ascii="Verdana" w:hAnsi="Verdana" w:cs="Arial"/>
          <w:sz w:val="24"/>
          <w:szCs w:val="24"/>
        </w:rPr>
        <w:t>18.</w:t>
      </w:r>
    </w:p>
    <w:p w14:paraId="6E516645" w14:textId="77777777" w:rsidR="0004668F" w:rsidRPr="00FA03D7" w:rsidRDefault="0004668F" w:rsidP="0004668F">
      <w:pPr>
        <w:spacing w:line="360" w:lineRule="auto"/>
        <w:ind w:left="709" w:hanging="709"/>
        <w:jc w:val="both"/>
        <w:rPr>
          <w:rFonts w:ascii="Verdana" w:hAnsi="Verdana"/>
          <w:sz w:val="24"/>
          <w:szCs w:val="24"/>
        </w:rPr>
      </w:pPr>
    </w:p>
    <w:p w14:paraId="43CD54EF" w14:textId="77777777" w:rsidR="0004668F" w:rsidRPr="00FA03D7" w:rsidRDefault="0004668F" w:rsidP="0004668F">
      <w:pPr>
        <w:pStyle w:val="ListParagraph"/>
        <w:spacing w:line="36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FA03D7">
        <w:rPr>
          <w:rFonts w:ascii="Verdana" w:hAnsi="Verdana"/>
          <w:b/>
          <w:sz w:val="24"/>
          <w:szCs w:val="24"/>
        </w:rPr>
        <w:t>Andrew Tagg</w:t>
      </w:r>
    </w:p>
    <w:p w14:paraId="37403602" w14:textId="77777777" w:rsidR="0004668F" w:rsidRPr="00FA03D7" w:rsidRDefault="0004668F" w:rsidP="0004668F">
      <w:pPr>
        <w:pStyle w:val="ListParagraph"/>
        <w:spacing w:line="36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FA03D7">
        <w:rPr>
          <w:rFonts w:ascii="Verdana" w:hAnsi="Verdana"/>
          <w:b/>
          <w:sz w:val="24"/>
          <w:szCs w:val="24"/>
        </w:rPr>
        <w:t>Head of Resources</w:t>
      </w:r>
    </w:p>
    <w:p w14:paraId="3564B4C2" w14:textId="77777777" w:rsidR="0004668F" w:rsidRPr="00FA03D7" w:rsidRDefault="0004668F" w:rsidP="0004668F">
      <w:pPr>
        <w:pStyle w:val="ListParagraph"/>
        <w:spacing w:line="36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73773BA2" w14:textId="1379932C" w:rsidR="0004668F" w:rsidRPr="00FA03D7" w:rsidRDefault="00420319" w:rsidP="0004668F">
      <w:pPr>
        <w:pStyle w:val="ListParagraph"/>
        <w:spacing w:line="36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FA03D7">
        <w:rPr>
          <w:rFonts w:ascii="Verdana" w:hAnsi="Verdana"/>
          <w:b/>
          <w:sz w:val="24"/>
          <w:szCs w:val="24"/>
        </w:rPr>
        <w:t>Cla</w:t>
      </w:r>
      <w:r w:rsidR="0004668F" w:rsidRPr="00FA03D7">
        <w:rPr>
          <w:rFonts w:ascii="Verdana" w:hAnsi="Verdana"/>
          <w:b/>
          <w:sz w:val="24"/>
          <w:szCs w:val="24"/>
        </w:rPr>
        <w:t>re Chamberlain</w:t>
      </w:r>
    </w:p>
    <w:p w14:paraId="4037A8CB" w14:textId="77777777" w:rsidR="0004668F" w:rsidRPr="00FA03D7" w:rsidRDefault="0004668F" w:rsidP="0004668F">
      <w:pPr>
        <w:pStyle w:val="ListParagraph"/>
        <w:spacing w:line="36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FA03D7">
        <w:rPr>
          <w:rFonts w:ascii="Verdana" w:hAnsi="Verdana"/>
          <w:b/>
          <w:sz w:val="24"/>
          <w:szCs w:val="24"/>
        </w:rPr>
        <w:t>Tri-Borough Executive Director – Children’s Services</w:t>
      </w:r>
    </w:p>
    <w:p w14:paraId="32533FCD" w14:textId="77777777" w:rsidR="00DB74D6" w:rsidRPr="00FA03D7" w:rsidRDefault="00DB74D6" w:rsidP="008B215A">
      <w:pPr>
        <w:ind w:left="720" w:hanging="720"/>
        <w:jc w:val="both"/>
        <w:rPr>
          <w:rFonts w:ascii="Verdana" w:hAnsi="Verdana"/>
          <w:sz w:val="24"/>
          <w:szCs w:val="24"/>
        </w:rPr>
      </w:pPr>
    </w:p>
    <w:p w14:paraId="3EC35CF6" w14:textId="77777777" w:rsidR="00C0107A" w:rsidRPr="00FA03D7" w:rsidRDefault="00C0107A" w:rsidP="00C0107A">
      <w:pPr>
        <w:pStyle w:val="ListParagraph"/>
        <w:spacing w:line="360" w:lineRule="auto"/>
        <w:ind w:left="0"/>
        <w:jc w:val="both"/>
        <w:rPr>
          <w:rFonts w:ascii="Verdana" w:hAnsi="Verdana"/>
          <w:b/>
          <w:sz w:val="24"/>
          <w:szCs w:val="24"/>
        </w:rPr>
      </w:pPr>
      <w:r w:rsidRPr="00FA03D7">
        <w:rPr>
          <w:rFonts w:ascii="Verdana" w:hAnsi="Verdana"/>
          <w:b/>
          <w:sz w:val="24"/>
          <w:szCs w:val="24"/>
        </w:rPr>
        <w:lastRenderedPageBreak/>
        <w:t>Appendices</w:t>
      </w:r>
    </w:p>
    <w:p w14:paraId="0D428EAE" w14:textId="14C8E34F" w:rsidR="00A6487F" w:rsidRPr="00FA03D7" w:rsidRDefault="00AD3FCC" w:rsidP="00C0107A">
      <w:pPr>
        <w:pStyle w:val="ListParagraph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Verdana" w:hAnsi="Verdana"/>
          <w:sz w:val="24"/>
          <w:szCs w:val="24"/>
        </w:rPr>
      </w:pPr>
      <w:r w:rsidRPr="00FA03D7">
        <w:rPr>
          <w:rFonts w:ascii="Verdana" w:hAnsi="Verdana"/>
          <w:sz w:val="24"/>
          <w:szCs w:val="24"/>
        </w:rPr>
        <w:t>Appendix A</w:t>
      </w:r>
      <w:r w:rsidR="00047F09" w:rsidRPr="00FA03D7">
        <w:rPr>
          <w:rFonts w:ascii="Verdana" w:hAnsi="Verdana"/>
          <w:sz w:val="24"/>
          <w:szCs w:val="24"/>
        </w:rPr>
        <w:t xml:space="preserve"> (</w:t>
      </w:r>
      <w:proofErr w:type="spellStart"/>
      <w:r w:rsidR="00047F09" w:rsidRPr="00FA03D7">
        <w:rPr>
          <w:rFonts w:ascii="Verdana" w:hAnsi="Verdana"/>
          <w:sz w:val="24"/>
          <w:szCs w:val="24"/>
        </w:rPr>
        <w:t>i</w:t>
      </w:r>
      <w:proofErr w:type="spellEnd"/>
      <w:r w:rsidR="00047F09" w:rsidRPr="00FA03D7">
        <w:rPr>
          <w:rFonts w:ascii="Verdana" w:hAnsi="Verdana"/>
          <w:sz w:val="24"/>
          <w:szCs w:val="24"/>
        </w:rPr>
        <w:t>)</w:t>
      </w:r>
      <w:r w:rsidRPr="00FA03D7">
        <w:rPr>
          <w:rFonts w:ascii="Verdana" w:hAnsi="Verdana"/>
          <w:sz w:val="24"/>
          <w:szCs w:val="24"/>
        </w:rPr>
        <w:t xml:space="preserve"> </w:t>
      </w:r>
      <w:r w:rsidR="00047F09" w:rsidRPr="00FA03D7">
        <w:rPr>
          <w:rFonts w:ascii="Verdana" w:hAnsi="Verdana"/>
          <w:sz w:val="24"/>
          <w:szCs w:val="24"/>
        </w:rPr>
        <w:t xml:space="preserve">– </w:t>
      </w:r>
      <w:proofErr w:type="spellStart"/>
      <w:r w:rsidR="00047F09" w:rsidRPr="00FA03D7">
        <w:rPr>
          <w:rFonts w:ascii="Verdana" w:hAnsi="Verdana"/>
          <w:sz w:val="24"/>
          <w:szCs w:val="24"/>
        </w:rPr>
        <w:t>Proforma</w:t>
      </w:r>
      <w:proofErr w:type="spellEnd"/>
    </w:p>
    <w:p w14:paraId="67D219C3" w14:textId="1E5AB4A5" w:rsidR="00C0107A" w:rsidRPr="00FA03D7" w:rsidRDefault="00047F09" w:rsidP="00A6487F">
      <w:pPr>
        <w:pStyle w:val="ListParagraph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Verdana" w:hAnsi="Verdana"/>
          <w:sz w:val="24"/>
          <w:szCs w:val="24"/>
        </w:rPr>
      </w:pPr>
      <w:r w:rsidRPr="00FA03D7">
        <w:rPr>
          <w:rFonts w:ascii="Verdana" w:hAnsi="Verdana"/>
          <w:sz w:val="24"/>
          <w:szCs w:val="24"/>
        </w:rPr>
        <w:t xml:space="preserve">Appendix A (ii) – </w:t>
      </w:r>
      <w:proofErr w:type="spellStart"/>
      <w:r w:rsidRPr="00FA03D7">
        <w:rPr>
          <w:rFonts w:ascii="Verdana" w:hAnsi="Verdana"/>
          <w:sz w:val="24"/>
          <w:szCs w:val="24"/>
        </w:rPr>
        <w:t>Proforma</w:t>
      </w:r>
      <w:proofErr w:type="spellEnd"/>
      <w:r w:rsidRPr="00FA03D7">
        <w:rPr>
          <w:rFonts w:ascii="Verdana" w:hAnsi="Verdana"/>
          <w:sz w:val="24"/>
          <w:szCs w:val="24"/>
        </w:rPr>
        <w:t xml:space="preserve"> with £1.2m disapplication</w:t>
      </w:r>
    </w:p>
    <w:p w14:paraId="203D5BD5" w14:textId="080ED566" w:rsidR="00047F09" w:rsidRPr="00FA03D7" w:rsidRDefault="00047F09" w:rsidP="00A6487F">
      <w:pPr>
        <w:pStyle w:val="ListParagraph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Verdana" w:hAnsi="Verdana"/>
          <w:sz w:val="24"/>
          <w:szCs w:val="24"/>
        </w:rPr>
      </w:pPr>
      <w:r w:rsidRPr="00FA03D7">
        <w:rPr>
          <w:rFonts w:ascii="Verdana" w:hAnsi="Verdana"/>
          <w:sz w:val="24"/>
          <w:szCs w:val="24"/>
        </w:rPr>
        <w:t>Appendix A (iii) – New ISB</w:t>
      </w:r>
    </w:p>
    <w:p w14:paraId="3C1D531E" w14:textId="5B918B45" w:rsidR="00047F09" w:rsidRPr="00FA03D7" w:rsidRDefault="00047F09" w:rsidP="00047F09">
      <w:pPr>
        <w:pStyle w:val="ListParagraph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Verdana" w:hAnsi="Verdana"/>
          <w:sz w:val="24"/>
          <w:szCs w:val="24"/>
        </w:rPr>
      </w:pPr>
      <w:r w:rsidRPr="00FA03D7">
        <w:rPr>
          <w:rFonts w:ascii="Verdana" w:hAnsi="Verdana"/>
          <w:sz w:val="24"/>
          <w:szCs w:val="24"/>
        </w:rPr>
        <w:t>Appendix A (iv) - NOR October 15 to October 16</w:t>
      </w:r>
    </w:p>
    <w:p w14:paraId="7998BA8B" w14:textId="56E9CC3D" w:rsidR="00047F09" w:rsidRPr="00FA03D7" w:rsidRDefault="00047F09" w:rsidP="00047F09">
      <w:pPr>
        <w:pStyle w:val="ListParagraph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Verdana" w:hAnsi="Verdana"/>
          <w:sz w:val="24"/>
          <w:szCs w:val="24"/>
        </w:rPr>
      </w:pPr>
      <w:r w:rsidRPr="00FA03D7">
        <w:rPr>
          <w:rFonts w:ascii="Verdana" w:hAnsi="Verdana"/>
          <w:sz w:val="24"/>
          <w:szCs w:val="24"/>
        </w:rPr>
        <w:t>Appendix A (v) – Comparison of funding</w:t>
      </w:r>
    </w:p>
    <w:p w14:paraId="624D1893" w14:textId="052E529C" w:rsidR="00047F09" w:rsidRPr="00FA03D7" w:rsidRDefault="00047F09" w:rsidP="00047F09">
      <w:pPr>
        <w:pStyle w:val="ListParagraph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Verdana" w:hAnsi="Verdana"/>
          <w:sz w:val="24"/>
          <w:szCs w:val="24"/>
        </w:rPr>
      </w:pPr>
      <w:r w:rsidRPr="00FA03D7">
        <w:rPr>
          <w:rFonts w:ascii="Verdana" w:hAnsi="Verdana"/>
          <w:sz w:val="24"/>
          <w:szCs w:val="24"/>
        </w:rPr>
        <w:t xml:space="preserve">Appendix A (vi) </w:t>
      </w:r>
      <w:r w:rsidR="003A1D82" w:rsidRPr="00FA03D7">
        <w:rPr>
          <w:rFonts w:ascii="Verdana" w:hAnsi="Verdana"/>
          <w:sz w:val="24"/>
          <w:szCs w:val="24"/>
        </w:rPr>
        <w:t>–</w:t>
      </w:r>
      <w:r w:rsidRPr="00FA03D7">
        <w:rPr>
          <w:rFonts w:ascii="Verdana" w:hAnsi="Verdana"/>
          <w:sz w:val="24"/>
          <w:szCs w:val="24"/>
        </w:rPr>
        <w:t xml:space="preserve"> Data</w:t>
      </w:r>
    </w:p>
    <w:p w14:paraId="5BDDDB98" w14:textId="36A431AA" w:rsidR="003A1D82" w:rsidRPr="00FA03D7" w:rsidRDefault="003A1D82" w:rsidP="004C708A">
      <w:pPr>
        <w:pStyle w:val="ListParagraph"/>
        <w:numPr>
          <w:ilvl w:val="0"/>
          <w:numId w:val="29"/>
        </w:numPr>
        <w:ind w:left="851" w:hanging="284"/>
        <w:rPr>
          <w:rFonts w:ascii="Verdana" w:hAnsi="Verdana"/>
          <w:sz w:val="24"/>
          <w:szCs w:val="24"/>
        </w:rPr>
      </w:pPr>
      <w:r w:rsidRPr="00FA03D7">
        <w:rPr>
          <w:rFonts w:ascii="Verdana" w:hAnsi="Verdana"/>
          <w:sz w:val="24"/>
          <w:szCs w:val="24"/>
        </w:rPr>
        <w:t xml:space="preserve">Appendix A (vi) – </w:t>
      </w:r>
      <w:r w:rsidR="004C708A" w:rsidRPr="00FA03D7">
        <w:rPr>
          <w:rFonts w:ascii="Verdana" w:hAnsi="Verdana"/>
          <w:sz w:val="24"/>
          <w:szCs w:val="24"/>
        </w:rPr>
        <w:t>Movement in data set 2016/17 – 2017/18</w:t>
      </w:r>
    </w:p>
    <w:p w14:paraId="7A68E309" w14:textId="77777777" w:rsidR="003A1D82" w:rsidRPr="00047F09" w:rsidRDefault="003A1D82" w:rsidP="004C708A">
      <w:pPr>
        <w:pStyle w:val="ListParagraph"/>
        <w:spacing w:after="0" w:line="360" w:lineRule="auto"/>
        <w:ind w:left="851"/>
        <w:jc w:val="both"/>
        <w:rPr>
          <w:rFonts w:ascii="Verdana" w:hAnsi="Verdana"/>
        </w:rPr>
      </w:pPr>
    </w:p>
    <w:p w14:paraId="02334A3A" w14:textId="77777777" w:rsidR="006B48A2" w:rsidRPr="006B48A2" w:rsidRDefault="006B48A2" w:rsidP="00CC27C4">
      <w:pPr>
        <w:ind w:left="720" w:hanging="720"/>
        <w:jc w:val="both"/>
        <w:rPr>
          <w:rFonts w:ascii="Verdana" w:hAnsi="Verdana"/>
          <w:sz w:val="24"/>
          <w:szCs w:val="24"/>
        </w:rPr>
      </w:pPr>
    </w:p>
    <w:sectPr w:rsidR="006B48A2" w:rsidRPr="006B48A2" w:rsidSect="00950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D0BC7" w14:textId="77777777" w:rsidR="005A33D8" w:rsidRDefault="005A33D8" w:rsidP="005E6B8F">
      <w:pPr>
        <w:spacing w:after="0" w:line="240" w:lineRule="auto"/>
      </w:pPr>
      <w:r>
        <w:separator/>
      </w:r>
    </w:p>
  </w:endnote>
  <w:endnote w:type="continuationSeparator" w:id="0">
    <w:p w14:paraId="6D67BB50" w14:textId="77777777" w:rsidR="005A33D8" w:rsidRDefault="005A33D8" w:rsidP="005E6B8F">
      <w:pPr>
        <w:spacing w:after="0" w:line="240" w:lineRule="auto"/>
      </w:pPr>
      <w:r>
        <w:continuationSeparator/>
      </w:r>
    </w:p>
  </w:endnote>
  <w:endnote w:type="continuationNotice" w:id="1">
    <w:p w14:paraId="26EF58D6" w14:textId="77777777" w:rsidR="005A33D8" w:rsidRDefault="005A3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4"/>
      </w:rPr>
      <w:id w:val="-546215820"/>
      <w:docPartObj>
        <w:docPartGallery w:val="Page Numbers (Bottom of Page)"/>
        <w:docPartUnique/>
      </w:docPartObj>
    </w:sdtPr>
    <w:sdtEndPr/>
    <w:sdtContent>
      <w:p w14:paraId="4C153BC5" w14:textId="1DC0D51F" w:rsidR="005A33D8" w:rsidRPr="00AE21C4" w:rsidRDefault="00FC3414" w:rsidP="00FC3414">
        <w:pPr>
          <w:pStyle w:val="Footer"/>
          <w:jc w:val="center"/>
          <w:rPr>
            <w:rFonts w:ascii="Verdana" w:hAnsi="Verdana"/>
            <w:sz w:val="28"/>
            <w:szCs w:val="24"/>
          </w:rPr>
        </w:pPr>
        <w:r w:rsidRPr="00AE21C4">
          <w:rPr>
            <w:rFonts w:ascii="Verdana" w:hAnsi="Verdana"/>
            <w:sz w:val="24"/>
          </w:rPr>
          <w:t xml:space="preserve">Page </w:t>
        </w:r>
        <w:r w:rsidRPr="00AE21C4">
          <w:rPr>
            <w:rFonts w:ascii="Verdana" w:hAnsi="Verdana"/>
            <w:sz w:val="24"/>
          </w:rPr>
          <w:fldChar w:fldCharType="begin"/>
        </w:r>
        <w:r w:rsidRPr="00AE21C4">
          <w:rPr>
            <w:rFonts w:ascii="Verdana" w:hAnsi="Verdana"/>
            <w:sz w:val="24"/>
          </w:rPr>
          <w:instrText xml:space="preserve"> PAGE   \* MERGEFORMAT </w:instrText>
        </w:r>
        <w:r w:rsidRPr="00AE21C4">
          <w:rPr>
            <w:rFonts w:ascii="Verdana" w:hAnsi="Verdana"/>
            <w:sz w:val="24"/>
          </w:rPr>
          <w:fldChar w:fldCharType="separate"/>
        </w:r>
        <w:r w:rsidR="009E1791">
          <w:rPr>
            <w:rFonts w:ascii="Verdana" w:hAnsi="Verdana"/>
            <w:noProof/>
            <w:sz w:val="24"/>
          </w:rPr>
          <w:t>14</w:t>
        </w:r>
        <w:r w:rsidRPr="00AE21C4">
          <w:rPr>
            <w:rFonts w:ascii="Verdana" w:hAnsi="Verdana"/>
            <w:noProof/>
            <w:sz w:val="24"/>
          </w:rPr>
          <w:fldChar w:fldCharType="end"/>
        </w:r>
        <w:r w:rsidRPr="00AE21C4">
          <w:rPr>
            <w:rFonts w:ascii="Verdana" w:hAnsi="Verdana"/>
            <w:noProof/>
            <w:sz w:val="24"/>
          </w:rPr>
          <w:t xml:space="preserve"> of </w:t>
        </w:r>
        <w:r w:rsidRPr="00AE21C4">
          <w:rPr>
            <w:rFonts w:ascii="Verdana" w:hAnsi="Verdana"/>
            <w:noProof/>
            <w:sz w:val="24"/>
          </w:rPr>
          <w:fldChar w:fldCharType="begin"/>
        </w:r>
        <w:r w:rsidRPr="00AE21C4">
          <w:rPr>
            <w:rFonts w:ascii="Verdana" w:hAnsi="Verdana"/>
            <w:noProof/>
            <w:sz w:val="24"/>
          </w:rPr>
          <w:instrText xml:space="preserve"> NUMPAGES   \* MERGEFORMAT </w:instrText>
        </w:r>
        <w:r w:rsidRPr="00AE21C4">
          <w:rPr>
            <w:rFonts w:ascii="Verdana" w:hAnsi="Verdana"/>
            <w:noProof/>
            <w:sz w:val="24"/>
          </w:rPr>
          <w:fldChar w:fldCharType="separate"/>
        </w:r>
        <w:r w:rsidR="009E1791">
          <w:rPr>
            <w:rFonts w:ascii="Verdana" w:hAnsi="Verdana"/>
            <w:noProof/>
            <w:sz w:val="24"/>
          </w:rPr>
          <w:t>14</w:t>
        </w:r>
        <w:r w:rsidRPr="00AE21C4">
          <w:rPr>
            <w:rFonts w:ascii="Verdana" w:hAnsi="Verdana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3333C" w14:textId="77777777" w:rsidR="005A33D8" w:rsidRDefault="005A33D8" w:rsidP="005E6B8F">
      <w:pPr>
        <w:spacing w:after="0" w:line="240" w:lineRule="auto"/>
      </w:pPr>
      <w:r>
        <w:separator/>
      </w:r>
    </w:p>
  </w:footnote>
  <w:footnote w:type="continuationSeparator" w:id="0">
    <w:p w14:paraId="223EE77A" w14:textId="77777777" w:rsidR="005A33D8" w:rsidRDefault="005A33D8" w:rsidP="005E6B8F">
      <w:pPr>
        <w:spacing w:after="0" w:line="240" w:lineRule="auto"/>
      </w:pPr>
      <w:r>
        <w:continuationSeparator/>
      </w:r>
    </w:p>
  </w:footnote>
  <w:footnote w:type="continuationNotice" w:id="1">
    <w:p w14:paraId="3C6628BB" w14:textId="77777777" w:rsidR="005A33D8" w:rsidRDefault="005A33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8A6"/>
    <w:multiLevelType w:val="hybridMultilevel"/>
    <w:tmpl w:val="D1289BC4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A76C62"/>
    <w:multiLevelType w:val="multilevel"/>
    <w:tmpl w:val="9314FC3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2" w15:restartNumberingAfterBreak="0">
    <w:nsid w:val="0A865BAC"/>
    <w:multiLevelType w:val="hybridMultilevel"/>
    <w:tmpl w:val="4BC0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4FE"/>
    <w:multiLevelType w:val="hybridMultilevel"/>
    <w:tmpl w:val="B3A40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31BD1"/>
    <w:multiLevelType w:val="hybridMultilevel"/>
    <w:tmpl w:val="B3D8F45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B94C4B"/>
    <w:multiLevelType w:val="hybridMultilevel"/>
    <w:tmpl w:val="3C5AB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A074D"/>
    <w:multiLevelType w:val="multilevel"/>
    <w:tmpl w:val="9386F4DC"/>
    <w:lvl w:ilvl="0">
      <w:start w:val="3"/>
      <w:numFmt w:val="decimal"/>
      <w:lvlText w:val="%1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414" w:hanging="216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eastAsiaTheme="minorHAnsi" w:hint="default"/>
        <w:color w:val="auto"/>
      </w:rPr>
    </w:lvl>
  </w:abstractNum>
  <w:abstractNum w:abstractNumId="7" w15:restartNumberingAfterBreak="0">
    <w:nsid w:val="18C20D67"/>
    <w:multiLevelType w:val="hybridMultilevel"/>
    <w:tmpl w:val="C7B4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69AC"/>
    <w:multiLevelType w:val="hybridMultilevel"/>
    <w:tmpl w:val="8D208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D1092"/>
    <w:multiLevelType w:val="hybridMultilevel"/>
    <w:tmpl w:val="24427670"/>
    <w:lvl w:ilvl="0" w:tplc="E7F2C1AA">
      <w:start w:val="1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E5A8C"/>
    <w:multiLevelType w:val="hybridMultilevel"/>
    <w:tmpl w:val="ECD6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A2730"/>
    <w:multiLevelType w:val="hybridMultilevel"/>
    <w:tmpl w:val="4E462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95B72"/>
    <w:multiLevelType w:val="hybridMultilevel"/>
    <w:tmpl w:val="BCD86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7A6880"/>
    <w:multiLevelType w:val="hybridMultilevel"/>
    <w:tmpl w:val="44A4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6019"/>
    <w:multiLevelType w:val="multilevel"/>
    <w:tmpl w:val="641284E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5" w15:restartNumberingAfterBreak="0">
    <w:nsid w:val="2E67742E"/>
    <w:multiLevelType w:val="multilevel"/>
    <w:tmpl w:val="860A900C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  <w:b/>
      </w:rPr>
    </w:lvl>
  </w:abstractNum>
  <w:abstractNum w:abstractNumId="16" w15:restartNumberingAfterBreak="0">
    <w:nsid w:val="3C833043"/>
    <w:multiLevelType w:val="multilevel"/>
    <w:tmpl w:val="857A36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426E3BAE"/>
    <w:multiLevelType w:val="multilevel"/>
    <w:tmpl w:val="97DAFA64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2880"/>
      </w:pPr>
      <w:rPr>
        <w:rFonts w:hint="default"/>
        <w:b w:val="0"/>
      </w:rPr>
    </w:lvl>
  </w:abstractNum>
  <w:abstractNum w:abstractNumId="18" w15:restartNumberingAfterBreak="0">
    <w:nsid w:val="4F5F3317"/>
    <w:multiLevelType w:val="multilevel"/>
    <w:tmpl w:val="5410418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53203A72"/>
    <w:multiLevelType w:val="hybridMultilevel"/>
    <w:tmpl w:val="B5A8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C2F63"/>
    <w:multiLevelType w:val="multilevel"/>
    <w:tmpl w:val="979A77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64A431CD"/>
    <w:multiLevelType w:val="multilevel"/>
    <w:tmpl w:val="8BCCA5F6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  <w:b/>
      </w:rPr>
    </w:lvl>
  </w:abstractNum>
  <w:abstractNum w:abstractNumId="22" w15:restartNumberingAfterBreak="0">
    <w:nsid w:val="6A1B4EC7"/>
    <w:multiLevelType w:val="multilevel"/>
    <w:tmpl w:val="08503FF2"/>
    <w:lvl w:ilvl="0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AD2595F"/>
    <w:multiLevelType w:val="hybridMultilevel"/>
    <w:tmpl w:val="C52E25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434246"/>
    <w:multiLevelType w:val="hybridMultilevel"/>
    <w:tmpl w:val="52D41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F83A01"/>
    <w:multiLevelType w:val="multilevel"/>
    <w:tmpl w:val="97DAFA64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2880"/>
      </w:pPr>
      <w:rPr>
        <w:rFonts w:hint="default"/>
        <w:b w:val="0"/>
      </w:rPr>
    </w:lvl>
  </w:abstractNum>
  <w:abstractNum w:abstractNumId="26" w15:restartNumberingAfterBreak="0">
    <w:nsid w:val="74A82722"/>
    <w:multiLevelType w:val="multilevel"/>
    <w:tmpl w:val="97DAFA64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2880"/>
      </w:pPr>
      <w:rPr>
        <w:rFonts w:hint="default"/>
        <w:b w:val="0"/>
      </w:rPr>
    </w:lvl>
  </w:abstractNum>
  <w:abstractNum w:abstractNumId="27" w15:restartNumberingAfterBreak="0">
    <w:nsid w:val="74CE47BC"/>
    <w:multiLevelType w:val="multilevel"/>
    <w:tmpl w:val="97DAFA64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2880"/>
      </w:pPr>
      <w:rPr>
        <w:rFonts w:hint="default"/>
        <w:b w:val="0"/>
      </w:rPr>
    </w:lvl>
  </w:abstractNum>
  <w:abstractNum w:abstractNumId="28" w15:restartNumberingAfterBreak="0">
    <w:nsid w:val="74D30BF5"/>
    <w:multiLevelType w:val="multilevel"/>
    <w:tmpl w:val="97DAFA64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2880"/>
      </w:pPr>
      <w:rPr>
        <w:rFonts w:hint="default"/>
        <w:b w:val="0"/>
      </w:r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23"/>
  </w:num>
  <w:num w:numId="5">
    <w:abstractNumId w:val="5"/>
  </w:num>
  <w:num w:numId="6">
    <w:abstractNumId w:val="10"/>
  </w:num>
  <w:num w:numId="7">
    <w:abstractNumId w:val="7"/>
  </w:num>
  <w:num w:numId="8">
    <w:abstractNumId w:val="20"/>
  </w:num>
  <w:num w:numId="9">
    <w:abstractNumId w:val="12"/>
  </w:num>
  <w:num w:numId="10">
    <w:abstractNumId w:val="24"/>
  </w:num>
  <w:num w:numId="11">
    <w:abstractNumId w:val="13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3"/>
  </w:num>
  <w:num w:numId="17">
    <w:abstractNumId w:val="26"/>
  </w:num>
  <w:num w:numId="18">
    <w:abstractNumId w:val="14"/>
  </w:num>
  <w:num w:numId="19">
    <w:abstractNumId w:val="6"/>
  </w:num>
  <w:num w:numId="20">
    <w:abstractNumId w:val="27"/>
  </w:num>
  <w:num w:numId="21">
    <w:abstractNumId w:val="9"/>
  </w:num>
  <w:num w:numId="22">
    <w:abstractNumId w:val="28"/>
  </w:num>
  <w:num w:numId="23">
    <w:abstractNumId w:val="25"/>
  </w:num>
  <w:num w:numId="24">
    <w:abstractNumId w:val="17"/>
  </w:num>
  <w:num w:numId="25">
    <w:abstractNumId w:val="16"/>
  </w:num>
  <w:num w:numId="26">
    <w:abstractNumId w:val="18"/>
  </w:num>
  <w:num w:numId="27">
    <w:abstractNumId w:val="21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2B"/>
    <w:rsid w:val="00001222"/>
    <w:rsid w:val="00001415"/>
    <w:rsid w:val="00015171"/>
    <w:rsid w:val="0001547B"/>
    <w:rsid w:val="000158A9"/>
    <w:rsid w:val="00024ADF"/>
    <w:rsid w:val="00032412"/>
    <w:rsid w:val="000339DB"/>
    <w:rsid w:val="000461FC"/>
    <w:rsid w:val="0004668F"/>
    <w:rsid w:val="00047F09"/>
    <w:rsid w:val="00054672"/>
    <w:rsid w:val="00063461"/>
    <w:rsid w:val="00066177"/>
    <w:rsid w:val="00066BD6"/>
    <w:rsid w:val="000743F4"/>
    <w:rsid w:val="00081129"/>
    <w:rsid w:val="00086D8A"/>
    <w:rsid w:val="000901DA"/>
    <w:rsid w:val="000A08DE"/>
    <w:rsid w:val="000B0286"/>
    <w:rsid w:val="000B3657"/>
    <w:rsid w:val="000B6494"/>
    <w:rsid w:val="000C0F52"/>
    <w:rsid w:val="000C46C4"/>
    <w:rsid w:val="000C659E"/>
    <w:rsid w:val="000D278A"/>
    <w:rsid w:val="000D2E91"/>
    <w:rsid w:val="000D5B51"/>
    <w:rsid w:val="000E1CF2"/>
    <w:rsid w:val="000E67D5"/>
    <w:rsid w:val="000E71D5"/>
    <w:rsid w:val="0010432F"/>
    <w:rsid w:val="001101D5"/>
    <w:rsid w:val="00114422"/>
    <w:rsid w:val="0011490A"/>
    <w:rsid w:val="00120F27"/>
    <w:rsid w:val="001210BA"/>
    <w:rsid w:val="00127D18"/>
    <w:rsid w:val="00132AD4"/>
    <w:rsid w:val="0013473E"/>
    <w:rsid w:val="00142163"/>
    <w:rsid w:val="00144B47"/>
    <w:rsid w:val="00150ACA"/>
    <w:rsid w:val="001511BA"/>
    <w:rsid w:val="00151335"/>
    <w:rsid w:val="0015696D"/>
    <w:rsid w:val="0015770C"/>
    <w:rsid w:val="00161543"/>
    <w:rsid w:val="0016161A"/>
    <w:rsid w:val="00162764"/>
    <w:rsid w:val="0016717A"/>
    <w:rsid w:val="001705F8"/>
    <w:rsid w:val="00170D9B"/>
    <w:rsid w:val="001772E2"/>
    <w:rsid w:val="001845FB"/>
    <w:rsid w:val="00194912"/>
    <w:rsid w:val="0019728C"/>
    <w:rsid w:val="001A406E"/>
    <w:rsid w:val="001A73E5"/>
    <w:rsid w:val="001B100E"/>
    <w:rsid w:val="001C0EA1"/>
    <w:rsid w:val="001D1997"/>
    <w:rsid w:val="001E1F83"/>
    <w:rsid w:val="001E3EAA"/>
    <w:rsid w:val="001E44F3"/>
    <w:rsid w:val="001E4EBA"/>
    <w:rsid w:val="001E53B6"/>
    <w:rsid w:val="001F5212"/>
    <w:rsid w:val="00202E94"/>
    <w:rsid w:val="00205929"/>
    <w:rsid w:val="00212A6B"/>
    <w:rsid w:val="0021418E"/>
    <w:rsid w:val="0022052A"/>
    <w:rsid w:val="00224B22"/>
    <w:rsid w:val="002331BB"/>
    <w:rsid w:val="0023569B"/>
    <w:rsid w:val="002356C6"/>
    <w:rsid w:val="002421B9"/>
    <w:rsid w:val="00245EC0"/>
    <w:rsid w:val="00250FE0"/>
    <w:rsid w:val="00261459"/>
    <w:rsid w:val="00264201"/>
    <w:rsid w:val="00265DED"/>
    <w:rsid w:val="002748B2"/>
    <w:rsid w:val="0027626A"/>
    <w:rsid w:val="00291298"/>
    <w:rsid w:val="00291726"/>
    <w:rsid w:val="002A028E"/>
    <w:rsid w:val="002A11F8"/>
    <w:rsid w:val="002B09E2"/>
    <w:rsid w:val="002B1959"/>
    <w:rsid w:val="002B2953"/>
    <w:rsid w:val="002B3F9A"/>
    <w:rsid w:val="002D05AB"/>
    <w:rsid w:val="002D3521"/>
    <w:rsid w:val="002D4A5E"/>
    <w:rsid w:val="002D58A2"/>
    <w:rsid w:val="002E2588"/>
    <w:rsid w:val="002E5004"/>
    <w:rsid w:val="002E7CA6"/>
    <w:rsid w:val="002F14F4"/>
    <w:rsid w:val="002F15AE"/>
    <w:rsid w:val="002F2119"/>
    <w:rsid w:val="002F3F0A"/>
    <w:rsid w:val="002F5B0C"/>
    <w:rsid w:val="002F6933"/>
    <w:rsid w:val="00301E94"/>
    <w:rsid w:val="003112C7"/>
    <w:rsid w:val="00312E0A"/>
    <w:rsid w:val="00312F28"/>
    <w:rsid w:val="00313213"/>
    <w:rsid w:val="00320434"/>
    <w:rsid w:val="003219F5"/>
    <w:rsid w:val="003242B0"/>
    <w:rsid w:val="0033175C"/>
    <w:rsid w:val="00333860"/>
    <w:rsid w:val="003357EE"/>
    <w:rsid w:val="00336518"/>
    <w:rsid w:val="00336FAF"/>
    <w:rsid w:val="00342864"/>
    <w:rsid w:val="00347299"/>
    <w:rsid w:val="00356CAE"/>
    <w:rsid w:val="003570F9"/>
    <w:rsid w:val="003579F7"/>
    <w:rsid w:val="00372A4F"/>
    <w:rsid w:val="003735FB"/>
    <w:rsid w:val="0039099E"/>
    <w:rsid w:val="00393BA7"/>
    <w:rsid w:val="00395F4C"/>
    <w:rsid w:val="00396AEF"/>
    <w:rsid w:val="00396E87"/>
    <w:rsid w:val="003A0516"/>
    <w:rsid w:val="003A1D82"/>
    <w:rsid w:val="003A4B47"/>
    <w:rsid w:val="003B0E0E"/>
    <w:rsid w:val="003B0F8F"/>
    <w:rsid w:val="003C21C2"/>
    <w:rsid w:val="003C4B48"/>
    <w:rsid w:val="003D1199"/>
    <w:rsid w:val="003E13CB"/>
    <w:rsid w:val="003E3E27"/>
    <w:rsid w:val="003F4027"/>
    <w:rsid w:val="0040010A"/>
    <w:rsid w:val="00401DBE"/>
    <w:rsid w:val="00412A59"/>
    <w:rsid w:val="00412E5A"/>
    <w:rsid w:val="00414BB5"/>
    <w:rsid w:val="00416AEC"/>
    <w:rsid w:val="00417002"/>
    <w:rsid w:val="00420319"/>
    <w:rsid w:val="0042732E"/>
    <w:rsid w:val="00432A6E"/>
    <w:rsid w:val="0043711C"/>
    <w:rsid w:val="0043789F"/>
    <w:rsid w:val="00442C8A"/>
    <w:rsid w:val="00446D8C"/>
    <w:rsid w:val="00457C52"/>
    <w:rsid w:val="004641B6"/>
    <w:rsid w:val="00464831"/>
    <w:rsid w:val="004653A5"/>
    <w:rsid w:val="004761F3"/>
    <w:rsid w:val="00480B73"/>
    <w:rsid w:val="0048413C"/>
    <w:rsid w:val="00484623"/>
    <w:rsid w:val="004851CF"/>
    <w:rsid w:val="00485DE8"/>
    <w:rsid w:val="004916D2"/>
    <w:rsid w:val="004A1C7A"/>
    <w:rsid w:val="004A2F5C"/>
    <w:rsid w:val="004A42D6"/>
    <w:rsid w:val="004A5A16"/>
    <w:rsid w:val="004A7ACB"/>
    <w:rsid w:val="004B3FCF"/>
    <w:rsid w:val="004B7A39"/>
    <w:rsid w:val="004C15C8"/>
    <w:rsid w:val="004C1C21"/>
    <w:rsid w:val="004C708A"/>
    <w:rsid w:val="004D253D"/>
    <w:rsid w:val="004D267D"/>
    <w:rsid w:val="004D6AF9"/>
    <w:rsid w:val="004D727A"/>
    <w:rsid w:val="004E7CC8"/>
    <w:rsid w:val="004F0242"/>
    <w:rsid w:val="004F0874"/>
    <w:rsid w:val="004F1C1F"/>
    <w:rsid w:val="004F4EC1"/>
    <w:rsid w:val="00503550"/>
    <w:rsid w:val="005059E5"/>
    <w:rsid w:val="00505F87"/>
    <w:rsid w:val="005118D9"/>
    <w:rsid w:val="00535F53"/>
    <w:rsid w:val="00536DB3"/>
    <w:rsid w:val="00536F4A"/>
    <w:rsid w:val="00540DE3"/>
    <w:rsid w:val="00544CF3"/>
    <w:rsid w:val="00544CFF"/>
    <w:rsid w:val="005521C7"/>
    <w:rsid w:val="00552B85"/>
    <w:rsid w:val="00557AB1"/>
    <w:rsid w:val="00560E51"/>
    <w:rsid w:val="005646CB"/>
    <w:rsid w:val="00570599"/>
    <w:rsid w:val="0057296F"/>
    <w:rsid w:val="0057361A"/>
    <w:rsid w:val="0057614E"/>
    <w:rsid w:val="0058330A"/>
    <w:rsid w:val="00593E6D"/>
    <w:rsid w:val="00595188"/>
    <w:rsid w:val="005A0141"/>
    <w:rsid w:val="005A2FE6"/>
    <w:rsid w:val="005A31C5"/>
    <w:rsid w:val="005A33D8"/>
    <w:rsid w:val="005A7E32"/>
    <w:rsid w:val="005B0515"/>
    <w:rsid w:val="005B0789"/>
    <w:rsid w:val="005B5F3F"/>
    <w:rsid w:val="005B7E23"/>
    <w:rsid w:val="005C38EB"/>
    <w:rsid w:val="005C74C0"/>
    <w:rsid w:val="005C7D2D"/>
    <w:rsid w:val="005C7F08"/>
    <w:rsid w:val="005D504A"/>
    <w:rsid w:val="005E0DB2"/>
    <w:rsid w:val="005E45BB"/>
    <w:rsid w:val="005E6B8F"/>
    <w:rsid w:val="005F7DA7"/>
    <w:rsid w:val="00602FFF"/>
    <w:rsid w:val="00606F52"/>
    <w:rsid w:val="00622305"/>
    <w:rsid w:val="006254F0"/>
    <w:rsid w:val="00627371"/>
    <w:rsid w:val="00634B89"/>
    <w:rsid w:val="00637AF9"/>
    <w:rsid w:val="006422CE"/>
    <w:rsid w:val="00644184"/>
    <w:rsid w:val="00650869"/>
    <w:rsid w:val="006518FD"/>
    <w:rsid w:val="00651A2A"/>
    <w:rsid w:val="00652B30"/>
    <w:rsid w:val="00652F04"/>
    <w:rsid w:val="00653D10"/>
    <w:rsid w:val="00653D3E"/>
    <w:rsid w:val="00656057"/>
    <w:rsid w:val="00657033"/>
    <w:rsid w:val="0065705E"/>
    <w:rsid w:val="0066379D"/>
    <w:rsid w:val="006717D6"/>
    <w:rsid w:val="00671BFB"/>
    <w:rsid w:val="00673C44"/>
    <w:rsid w:val="006753F4"/>
    <w:rsid w:val="006765DA"/>
    <w:rsid w:val="006772F9"/>
    <w:rsid w:val="00677BA2"/>
    <w:rsid w:val="006854F2"/>
    <w:rsid w:val="00687538"/>
    <w:rsid w:val="006966B1"/>
    <w:rsid w:val="00696F7C"/>
    <w:rsid w:val="006A0BB5"/>
    <w:rsid w:val="006A31A0"/>
    <w:rsid w:val="006A51C9"/>
    <w:rsid w:val="006B11C1"/>
    <w:rsid w:val="006B48A2"/>
    <w:rsid w:val="006B65AE"/>
    <w:rsid w:val="006C5870"/>
    <w:rsid w:val="006C7D92"/>
    <w:rsid w:val="006D2295"/>
    <w:rsid w:val="006D5743"/>
    <w:rsid w:val="006D6224"/>
    <w:rsid w:val="006D6B73"/>
    <w:rsid w:val="006E3B3C"/>
    <w:rsid w:val="006F5EFC"/>
    <w:rsid w:val="00700626"/>
    <w:rsid w:val="00703A98"/>
    <w:rsid w:val="00704B9A"/>
    <w:rsid w:val="007117DA"/>
    <w:rsid w:val="0071704D"/>
    <w:rsid w:val="007200CE"/>
    <w:rsid w:val="007213C1"/>
    <w:rsid w:val="007228CF"/>
    <w:rsid w:val="00722FA6"/>
    <w:rsid w:val="00724B21"/>
    <w:rsid w:val="007330BE"/>
    <w:rsid w:val="007339EB"/>
    <w:rsid w:val="0073670D"/>
    <w:rsid w:val="007379B4"/>
    <w:rsid w:val="00741773"/>
    <w:rsid w:val="00751359"/>
    <w:rsid w:val="007541AD"/>
    <w:rsid w:val="00754336"/>
    <w:rsid w:val="00762714"/>
    <w:rsid w:val="00771048"/>
    <w:rsid w:val="00773252"/>
    <w:rsid w:val="00774470"/>
    <w:rsid w:val="00774DFF"/>
    <w:rsid w:val="00776B0D"/>
    <w:rsid w:val="0078573D"/>
    <w:rsid w:val="00790F6B"/>
    <w:rsid w:val="00791587"/>
    <w:rsid w:val="00792FDF"/>
    <w:rsid w:val="007A2BE6"/>
    <w:rsid w:val="007A5765"/>
    <w:rsid w:val="007B51CB"/>
    <w:rsid w:val="007B7C28"/>
    <w:rsid w:val="007C16C1"/>
    <w:rsid w:val="007C45DD"/>
    <w:rsid w:val="007C59EF"/>
    <w:rsid w:val="007C7095"/>
    <w:rsid w:val="007D59A9"/>
    <w:rsid w:val="007D76D1"/>
    <w:rsid w:val="007E00F6"/>
    <w:rsid w:val="007E2F32"/>
    <w:rsid w:val="007E682E"/>
    <w:rsid w:val="007E68E0"/>
    <w:rsid w:val="007F1599"/>
    <w:rsid w:val="007F2A02"/>
    <w:rsid w:val="007F2B45"/>
    <w:rsid w:val="00803DCC"/>
    <w:rsid w:val="00805420"/>
    <w:rsid w:val="00807FCE"/>
    <w:rsid w:val="008133E7"/>
    <w:rsid w:val="00817472"/>
    <w:rsid w:val="00820822"/>
    <w:rsid w:val="00822A28"/>
    <w:rsid w:val="00827B48"/>
    <w:rsid w:val="0083397F"/>
    <w:rsid w:val="0084561E"/>
    <w:rsid w:val="00850BB4"/>
    <w:rsid w:val="008525F7"/>
    <w:rsid w:val="00863DC7"/>
    <w:rsid w:val="008657BE"/>
    <w:rsid w:val="00867513"/>
    <w:rsid w:val="00871BC0"/>
    <w:rsid w:val="00872497"/>
    <w:rsid w:val="008729BA"/>
    <w:rsid w:val="0087521E"/>
    <w:rsid w:val="008814C9"/>
    <w:rsid w:val="00891F69"/>
    <w:rsid w:val="008928DF"/>
    <w:rsid w:val="00893FF3"/>
    <w:rsid w:val="00895E09"/>
    <w:rsid w:val="0089602B"/>
    <w:rsid w:val="00896730"/>
    <w:rsid w:val="008A0318"/>
    <w:rsid w:val="008A10D6"/>
    <w:rsid w:val="008A2791"/>
    <w:rsid w:val="008A4650"/>
    <w:rsid w:val="008A49C5"/>
    <w:rsid w:val="008A57FE"/>
    <w:rsid w:val="008A5FC2"/>
    <w:rsid w:val="008B215A"/>
    <w:rsid w:val="008B45A3"/>
    <w:rsid w:val="008C18AE"/>
    <w:rsid w:val="008C366B"/>
    <w:rsid w:val="008C3A7F"/>
    <w:rsid w:val="008C64F2"/>
    <w:rsid w:val="008C7400"/>
    <w:rsid w:val="008C7F25"/>
    <w:rsid w:val="008D4B50"/>
    <w:rsid w:val="008D5682"/>
    <w:rsid w:val="008D5CED"/>
    <w:rsid w:val="008E158D"/>
    <w:rsid w:val="008E3C40"/>
    <w:rsid w:val="008F5D3B"/>
    <w:rsid w:val="00901FE9"/>
    <w:rsid w:val="00902359"/>
    <w:rsid w:val="00902395"/>
    <w:rsid w:val="009030B5"/>
    <w:rsid w:val="009041BC"/>
    <w:rsid w:val="00905A29"/>
    <w:rsid w:val="009134D4"/>
    <w:rsid w:val="009136E5"/>
    <w:rsid w:val="00917382"/>
    <w:rsid w:val="00917417"/>
    <w:rsid w:val="00923304"/>
    <w:rsid w:val="009357FA"/>
    <w:rsid w:val="00950BDC"/>
    <w:rsid w:val="0095255F"/>
    <w:rsid w:val="0095280E"/>
    <w:rsid w:val="00954366"/>
    <w:rsid w:val="00960B67"/>
    <w:rsid w:val="00961FBA"/>
    <w:rsid w:val="009630C0"/>
    <w:rsid w:val="0096392C"/>
    <w:rsid w:val="009663C6"/>
    <w:rsid w:val="009665CD"/>
    <w:rsid w:val="00971FCF"/>
    <w:rsid w:val="0097659A"/>
    <w:rsid w:val="009936A6"/>
    <w:rsid w:val="00995C5D"/>
    <w:rsid w:val="009A0C9B"/>
    <w:rsid w:val="009A2C9A"/>
    <w:rsid w:val="009A4B70"/>
    <w:rsid w:val="009B003A"/>
    <w:rsid w:val="009B0D25"/>
    <w:rsid w:val="009B25FB"/>
    <w:rsid w:val="009B2F99"/>
    <w:rsid w:val="009B7CAF"/>
    <w:rsid w:val="009C0635"/>
    <w:rsid w:val="009C2A7D"/>
    <w:rsid w:val="009C4AE4"/>
    <w:rsid w:val="009C588B"/>
    <w:rsid w:val="009C7468"/>
    <w:rsid w:val="009D4701"/>
    <w:rsid w:val="009D4C48"/>
    <w:rsid w:val="009D6F03"/>
    <w:rsid w:val="009E11FD"/>
    <w:rsid w:val="009E1791"/>
    <w:rsid w:val="009E3899"/>
    <w:rsid w:val="009E45E6"/>
    <w:rsid w:val="009E4F5C"/>
    <w:rsid w:val="009E69F8"/>
    <w:rsid w:val="009F0734"/>
    <w:rsid w:val="009F0933"/>
    <w:rsid w:val="009F5A9B"/>
    <w:rsid w:val="00A059F7"/>
    <w:rsid w:val="00A05F71"/>
    <w:rsid w:val="00A06126"/>
    <w:rsid w:val="00A0617F"/>
    <w:rsid w:val="00A1244A"/>
    <w:rsid w:val="00A125CE"/>
    <w:rsid w:val="00A14750"/>
    <w:rsid w:val="00A22316"/>
    <w:rsid w:val="00A27ECC"/>
    <w:rsid w:val="00A31727"/>
    <w:rsid w:val="00A32FF9"/>
    <w:rsid w:val="00A33F6C"/>
    <w:rsid w:val="00A41ACD"/>
    <w:rsid w:val="00A423B1"/>
    <w:rsid w:val="00A4312D"/>
    <w:rsid w:val="00A52AD1"/>
    <w:rsid w:val="00A6133B"/>
    <w:rsid w:val="00A61FDE"/>
    <w:rsid w:val="00A6487F"/>
    <w:rsid w:val="00A64BDE"/>
    <w:rsid w:val="00A65B89"/>
    <w:rsid w:val="00A71540"/>
    <w:rsid w:val="00A84F21"/>
    <w:rsid w:val="00A854DD"/>
    <w:rsid w:val="00A9460C"/>
    <w:rsid w:val="00A970DF"/>
    <w:rsid w:val="00AA0737"/>
    <w:rsid w:val="00AA3530"/>
    <w:rsid w:val="00AA557F"/>
    <w:rsid w:val="00AA6622"/>
    <w:rsid w:val="00AB4C6F"/>
    <w:rsid w:val="00AB7DF9"/>
    <w:rsid w:val="00AC030C"/>
    <w:rsid w:val="00AC1FE7"/>
    <w:rsid w:val="00AC4230"/>
    <w:rsid w:val="00AD1841"/>
    <w:rsid w:val="00AD3FCC"/>
    <w:rsid w:val="00AD7277"/>
    <w:rsid w:val="00AE21C4"/>
    <w:rsid w:val="00AE3A62"/>
    <w:rsid w:val="00AE4DEE"/>
    <w:rsid w:val="00AF07F6"/>
    <w:rsid w:val="00AF6237"/>
    <w:rsid w:val="00AF6E58"/>
    <w:rsid w:val="00AF70C3"/>
    <w:rsid w:val="00B02711"/>
    <w:rsid w:val="00B04222"/>
    <w:rsid w:val="00B04FC5"/>
    <w:rsid w:val="00B05399"/>
    <w:rsid w:val="00B06CA4"/>
    <w:rsid w:val="00B12089"/>
    <w:rsid w:val="00B14732"/>
    <w:rsid w:val="00B211A6"/>
    <w:rsid w:val="00B26D83"/>
    <w:rsid w:val="00B27E8E"/>
    <w:rsid w:val="00B37517"/>
    <w:rsid w:val="00B44885"/>
    <w:rsid w:val="00B453C6"/>
    <w:rsid w:val="00B47365"/>
    <w:rsid w:val="00B476D0"/>
    <w:rsid w:val="00B56754"/>
    <w:rsid w:val="00B56DC9"/>
    <w:rsid w:val="00B62FF3"/>
    <w:rsid w:val="00B63D08"/>
    <w:rsid w:val="00B6683C"/>
    <w:rsid w:val="00B673F0"/>
    <w:rsid w:val="00B67C75"/>
    <w:rsid w:val="00B70B24"/>
    <w:rsid w:val="00B70B93"/>
    <w:rsid w:val="00B830E2"/>
    <w:rsid w:val="00B8392A"/>
    <w:rsid w:val="00B845C2"/>
    <w:rsid w:val="00B8748E"/>
    <w:rsid w:val="00B92113"/>
    <w:rsid w:val="00B943B7"/>
    <w:rsid w:val="00B94B49"/>
    <w:rsid w:val="00BA66CA"/>
    <w:rsid w:val="00BB4267"/>
    <w:rsid w:val="00BC640A"/>
    <w:rsid w:val="00BD5E9A"/>
    <w:rsid w:val="00BE0909"/>
    <w:rsid w:val="00BE27E1"/>
    <w:rsid w:val="00BE2DC1"/>
    <w:rsid w:val="00BE592B"/>
    <w:rsid w:val="00BF3FB3"/>
    <w:rsid w:val="00BF7621"/>
    <w:rsid w:val="00BF7B4C"/>
    <w:rsid w:val="00C0107A"/>
    <w:rsid w:val="00C04EC0"/>
    <w:rsid w:val="00C057E1"/>
    <w:rsid w:val="00C1074D"/>
    <w:rsid w:val="00C15BA2"/>
    <w:rsid w:val="00C206D9"/>
    <w:rsid w:val="00C20F9E"/>
    <w:rsid w:val="00C2546B"/>
    <w:rsid w:val="00C47834"/>
    <w:rsid w:val="00C55049"/>
    <w:rsid w:val="00C641FE"/>
    <w:rsid w:val="00C66918"/>
    <w:rsid w:val="00C66A76"/>
    <w:rsid w:val="00C66CED"/>
    <w:rsid w:val="00C70EE0"/>
    <w:rsid w:val="00C72AA7"/>
    <w:rsid w:val="00C737F5"/>
    <w:rsid w:val="00C738DE"/>
    <w:rsid w:val="00C7585E"/>
    <w:rsid w:val="00C76B32"/>
    <w:rsid w:val="00C77740"/>
    <w:rsid w:val="00C824EB"/>
    <w:rsid w:val="00C83FA8"/>
    <w:rsid w:val="00C85743"/>
    <w:rsid w:val="00C867BC"/>
    <w:rsid w:val="00C9382C"/>
    <w:rsid w:val="00C9392D"/>
    <w:rsid w:val="00C9460A"/>
    <w:rsid w:val="00CA14E1"/>
    <w:rsid w:val="00CA1CE2"/>
    <w:rsid w:val="00CA364C"/>
    <w:rsid w:val="00CB3194"/>
    <w:rsid w:val="00CB6CC3"/>
    <w:rsid w:val="00CC27C4"/>
    <w:rsid w:val="00CC5A17"/>
    <w:rsid w:val="00CD3037"/>
    <w:rsid w:val="00CD4B3C"/>
    <w:rsid w:val="00CD5AF9"/>
    <w:rsid w:val="00CE3FE0"/>
    <w:rsid w:val="00CF289D"/>
    <w:rsid w:val="00CF3611"/>
    <w:rsid w:val="00CF3DD7"/>
    <w:rsid w:val="00D11DA5"/>
    <w:rsid w:val="00D15203"/>
    <w:rsid w:val="00D16E3B"/>
    <w:rsid w:val="00D17904"/>
    <w:rsid w:val="00D25875"/>
    <w:rsid w:val="00D304C1"/>
    <w:rsid w:val="00D335B2"/>
    <w:rsid w:val="00D37B3D"/>
    <w:rsid w:val="00D42A60"/>
    <w:rsid w:val="00D42DBD"/>
    <w:rsid w:val="00D43835"/>
    <w:rsid w:val="00D4743E"/>
    <w:rsid w:val="00D538AF"/>
    <w:rsid w:val="00D6240B"/>
    <w:rsid w:val="00D65C85"/>
    <w:rsid w:val="00D70DC2"/>
    <w:rsid w:val="00D70E7D"/>
    <w:rsid w:val="00D73B22"/>
    <w:rsid w:val="00D76DE7"/>
    <w:rsid w:val="00D83E50"/>
    <w:rsid w:val="00D852F7"/>
    <w:rsid w:val="00D9460B"/>
    <w:rsid w:val="00D9601E"/>
    <w:rsid w:val="00D97146"/>
    <w:rsid w:val="00DA3AE9"/>
    <w:rsid w:val="00DA57AC"/>
    <w:rsid w:val="00DB224B"/>
    <w:rsid w:val="00DB74D6"/>
    <w:rsid w:val="00DC07EC"/>
    <w:rsid w:val="00DC1FB1"/>
    <w:rsid w:val="00DC6698"/>
    <w:rsid w:val="00DD1D5F"/>
    <w:rsid w:val="00DD49E4"/>
    <w:rsid w:val="00DD5120"/>
    <w:rsid w:val="00DE4903"/>
    <w:rsid w:val="00DE5DE0"/>
    <w:rsid w:val="00DE72EB"/>
    <w:rsid w:val="00DF3A0B"/>
    <w:rsid w:val="00DF62C4"/>
    <w:rsid w:val="00DF64AD"/>
    <w:rsid w:val="00E05760"/>
    <w:rsid w:val="00E06C21"/>
    <w:rsid w:val="00E11BBF"/>
    <w:rsid w:val="00E129E4"/>
    <w:rsid w:val="00E136FA"/>
    <w:rsid w:val="00E14D05"/>
    <w:rsid w:val="00E16181"/>
    <w:rsid w:val="00E16FFE"/>
    <w:rsid w:val="00E234F9"/>
    <w:rsid w:val="00E275D7"/>
    <w:rsid w:val="00E30E9E"/>
    <w:rsid w:val="00E36311"/>
    <w:rsid w:val="00E4575B"/>
    <w:rsid w:val="00E542DF"/>
    <w:rsid w:val="00E54F99"/>
    <w:rsid w:val="00E56B32"/>
    <w:rsid w:val="00E65CC5"/>
    <w:rsid w:val="00E728CB"/>
    <w:rsid w:val="00E80074"/>
    <w:rsid w:val="00E819EB"/>
    <w:rsid w:val="00E84198"/>
    <w:rsid w:val="00E928A5"/>
    <w:rsid w:val="00E92D07"/>
    <w:rsid w:val="00EA5868"/>
    <w:rsid w:val="00EB3676"/>
    <w:rsid w:val="00EB4182"/>
    <w:rsid w:val="00EB4987"/>
    <w:rsid w:val="00EB5FC0"/>
    <w:rsid w:val="00EB6DA2"/>
    <w:rsid w:val="00EC2F9D"/>
    <w:rsid w:val="00EC51CE"/>
    <w:rsid w:val="00EE56BA"/>
    <w:rsid w:val="00EE6181"/>
    <w:rsid w:val="00EF1DA4"/>
    <w:rsid w:val="00EF310F"/>
    <w:rsid w:val="00EF4605"/>
    <w:rsid w:val="00EF68AD"/>
    <w:rsid w:val="00F02640"/>
    <w:rsid w:val="00F037A7"/>
    <w:rsid w:val="00F070AE"/>
    <w:rsid w:val="00F10720"/>
    <w:rsid w:val="00F17AFA"/>
    <w:rsid w:val="00F23180"/>
    <w:rsid w:val="00F2576E"/>
    <w:rsid w:val="00F26BF3"/>
    <w:rsid w:val="00F30389"/>
    <w:rsid w:val="00F35F9F"/>
    <w:rsid w:val="00F372E6"/>
    <w:rsid w:val="00F4049A"/>
    <w:rsid w:val="00F405D2"/>
    <w:rsid w:val="00F47905"/>
    <w:rsid w:val="00F50A64"/>
    <w:rsid w:val="00F527EC"/>
    <w:rsid w:val="00F52CDB"/>
    <w:rsid w:val="00F53790"/>
    <w:rsid w:val="00F54D57"/>
    <w:rsid w:val="00F65910"/>
    <w:rsid w:val="00F669E4"/>
    <w:rsid w:val="00F71785"/>
    <w:rsid w:val="00F7233E"/>
    <w:rsid w:val="00F74FB6"/>
    <w:rsid w:val="00F8295A"/>
    <w:rsid w:val="00F87AB3"/>
    <w:rsid w:val="00F95739"/>
    <w:rsid w:val="00FA03D7"/>
    <w:rsid w:val="00FA0C86"/>
    <w:rsid w:val="00FA7965"/>
    <w:rsid w:val="00FC01E4"/>
    <w:rsid w:val="00FC1249"/>
    <w:rsid w:val="00FC3414"/>
    <w:rsid w:val="00FC3FF3"/>
    <w:rsid w:val="00FC5030"/>
    <w:rsid w:val="00FC654A"/>
    <w:rsid w:val="00FD0B5D"/>
    <w:rsid w:val="00FD430E"/>
    <w:rsid w:val="00FD704E"/>
    <w:rsid w:val="00FD7A75"/>
    <w:rsid w:val="00FE27D4"/>
    <w:rsid w:val="00FE28EE"/>
    <w:rsid w:val="00FE3DF3"/>
    <w:rsid w:val="1BE8B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E7EA"/>
  <w15:docId w15:val="{6E8FE044-8B28-4C68-A79C-1C4B34C1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0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09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0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F4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02B"/>
    <w:rPr>
      <w:rFonts w:asciiTheme="majorHAnsi" w:eastAsiaTheme="majorEastAsia" w:hAnsiTheme="majorHAnsi" w:cstheme="majorBidi"/>
      <w:b/>
      <w:bCs/>
      <w:i/>
      <w:iCs/>
      <w:color w:val="00209F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02B"/>
    <w:rPr>
      <w:rFonts w:asciiTheme="majorHAnsi" w:eastAsiaTheme="majorEastAsia" w:hAnsiTheme="majorHAnsi" w:cstheme="majorBidi"/>
      <w:color w:val="000F4F" w:themeColor="accent1" w:themeShade="7F"/>
      <w:sz w:val="22"/>
      <w:szCs w:val="22"/>
    </w:rPr>
  </w:style>
  <w:style w:type="paragraph" w:styleId="ListParagraph">
    <w:name w:val="List Paragraph"/>
    <w:basedOn w:val="Normal"/>
    <w:uiPriority w:val="34"/>
    <w:qFormat/>
    <w:rsid w:val="0089602B"/>
    <w:pPr>
      <w:ind w:left="720"/>
      <w:contextualSpacing/>
    </w:pPr>
  </w:style>
  <w:style w:type="character" w:styleId="Hyperlink">
    <w:name w:val="Hyperlink"/>
    <w:basedOn w:val="DefaultParagraphFont"/>
    <w:rsid w:val="00142163"/>
    <w:rPr>
      <w:color w:val="0000FF"/>
      <w:u w:val="single"/>
    </w:rPr>
  </w:style>
  <w:style w:type="table" w:styleId="TableGrid">
    <w:name w:val="Table Grid"/>
    <w:basedOn w:val="TableNormal"/>
    <w:uiPriority w:val="59"/>
    <w:rsid w:val="00B8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30E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D43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4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6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46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3EEB-BBC6-476A-9ECD-A1BB732B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FINNIGR</dc:creator>
  <cp:lastModifiedBy>Verma, Vik: CS-Fin: RBKC</cp:lastModifiedBy>
  <cp:revision>23</cp:revision>
  <cp:lastPrinted>2017-01-03T13:51:00Z</cp:lastPrinted>
  <dcterms:created xsi:type="dcterms:W3CDTF">2017-01-09T14:10:00Z</dcterms:created>
  <dcterms:modified xsi:type="dcterms:W3CDTF">2017-01-10T12:52:00Z</dcterms:modified>
</cp:coreProperties>
</file>