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21" w:rsidRPr="00BB1E21" w:rsidRDefault="00BB1E21" w:rsidP="00BB1E21">
      <w:pPr>
        <w:spacing w:after="0" w:line="240" w:lineRule="auto"/>
        <w:ind w:left="851" w:hanging="851"/>
        <w:jc w:val="right"/>
        <w:rPr>
          <w:rFonts w:ascii="Verdana" w:eastAsia="Times New Roman" w:hAnsi="Verdana" w:cs="Times New Roman"/>
          <w:b/>
          <w:noProof/>
          <w:sz w:val="48"/>
          <w:lang w:val="en-US"/>
        </w:rPr>
      </w:pPr>
      <w:r w:rsidRPr="00BB1E21">
        <w:rPr>
          <w:rFonts w:ascii="Verdana" w:eastAsia="Times New Roman" w:hAnsi="Verdana" w:cs="Times New Roman"/>
          <w:b/>
          <w:noProof/>
          <w:sz w:val="48"/>
          <w:lang w:val="en-US"/>
        </w:rPr>
        <w:t>A2</w:t>
      </w:r>
    </w:p>
    <w:p w:rsidR="00C21440" w:rsidRPr="00C21440" w:rsidRDefault="00C21440" w:rsidP="00C21440">
      <w:pPr>
        <w:spacing w:after="0" w:line="240" w:lineRule="auto"/>
        <w:ind w:left="851" w:hanging="851"/>
        <w:jc w:val="center"/>
        <w:rPr>
          <w:rFonts w:ascii="Verdana" w:eastAsia="Times New Roman" w:hAnsi="Verdana" w:cs="Times New Roman"/>
          <w:b/>
          <w:noProof/>
          <w:lang w:val="en-US"/>
        </w:rPr>
      </w:pPr>
      <w:r w:rsidRPr="00C21440">
        <w:rPr>
          <w:rFonts w:ascii="Verdana" w:eastAsia="Times New Roman" w:hAnsi="Verdana" w:cs="Times New Roman"/>
          <w:b/>
          <w:noProof/>
          <w:lang w:val="en-US"/>
        </w:rPr>
        <w:t>WESTMINSTER CITY COUNCIL</w:t>
      </w:r>
    </w:p>
    <w:p w:rsidR="00C21440" w:rsidRPr="00C21440" w:rsidRDefault="00C21440" w:rsidP="00C21440">
      <w:pPr>
        <w:spacing w:after="0" w:line="240" w:lineRule="auto"/>
        <w:ind w:left="851" w:hanging="851"/>
        <w:jc w:val="center"/>
        <w:rPr>
          <w:rFonts w:ascii="Verdana" w:eastAsia="Times New Roman" w:hAnsi="Verdana" w:cs="Times New Roman"/>
          <w:b/>
          <w:noProof/>
          <w:lang w:val="en-US"/>
        </w:rPr>
      </w:pPr>
    </w:p>
    <w:p w:rsidR="00C21440" w:rsidRPr="00C21440" w:rsidRDefault="00C21440" w:rsidP="00C21440">
      <w:pPr>
        <w:spacing w:after="0" w:line="240" w:lineRule="auto"/>
        <w:ind w:left="851" w:hanging="851"/>
        <w:jc w:val="center"/>
        <w:rPr>
          <w:rFonts w:ascii="Verdana" w:eastAsia="Times New Roman" w:hAnsi="Verdana" w:cs="Times New Roman"/>
          <w:b/>
          <w:noProof/>
          <w:lang w:val="en-US"/>
        </w:rPr>
      </w:pPr>
      <w:r w:rsidRPr="00C21440">
        <w:rPr>
          <w:rFonts w:ascii="Verdana" w:eastAsia="Times New Roman" w:hAnsi="Verdana" w:cs="Times New Roman"/>
          <w:b/>
          <w:noProof/>
          <w:lang w:val="en-US"/>
        </w:rPr>
        <w:t>SCHOOLS FORUM 1</w:t>
      </w:r>
      <w:r>
        <w:rPr>
          <w:rFonts w:ascii="Verdana" w:eastAsia="Times New Roman" w:hAnsi="Verdana" w:cs="Times New Roman"/>
          <w:b/>
          <w:noProof/>
          <w:lang w:val="en-US"/>
        </w:rPr>
        <w:t>6</w:t>
      </w:r>
      <w:r w:rsidR="005025DF">
        <w:rPr>
          <w:rFonts w:ascii="Verdana" w:eastAsia="Times New Roman" w:hAnsi="Verdana" w:cs="Times New Roman"/>
          <w:b/>
          <w:noProof/>
          <w:vertAlign w:val="superscript"/>
          <w:lang w:val="en-US"/>
        </w:rPr>
        <w:t>TH</w:t>
      </w:r>
      <w:r w:rsidRPr="00C21440">
        <w:rPr>
          <w:rFonts w:ascii="Verdana" w:eastAsia="Times New Roman" w:hAnsi="Verdana" w:cs="Times New Roman"/>
          <w:b/>
          <w:noProof/>
          <w:lang w:val="en-US"/>
        </w:rPr>
        <w:t xml:space="preserve"> </w:t>
      </w:r>
      <w:r>
        <w:rPr>
          <w:rFonts w:ascii="Verdana" w:eastAsia="Times New Roman" w:hAnsi="Verdana" w:cs="Times New Roman"/>
          <w:b/>
          <w:noProof/>
          <w:lang w:val="en-US"/>
        </w:rPr>
        <w:t>JANUARY</w:t>
      </w:r>
      <w:r w:rsidRPr="00C21440">
        <w:rPr>
          <w:rFonts w:ascii="Verdana" w:eastAsia="Times New Roman" w:hAnsi="Verdana" w:cs="Times New Roman"/>
          <w:b/>
          <w:noProof/>
          <w:lang w:val="en-US"/>
        </w:rPr>
        <w:t xml:space="preserve"> 201</w:t>
      </w:r>
      <w:r>
        <w:rPr>
          <w:rFonts w:ascii="Verdana" w:eastAsia="Times New Roman" w:hAnsi="Verdana" w:cs="Times New Roman"/>
          <w:b/>
          <w:noProof/>
          <w:lang w:val="en-US"/>
        </w:rPr>
        <w:t>7</w:t>
      </w:r>
    </w:p>
    <w:p w:rsidR="00C21440" w:rsidRPr="00C21440" w:rsidRDefault="00C21440" w:rsidP="00C21440">
      <w:pPr>
        <w:spacing w:after="0" w:line="240" w:lineRule="auto"/>
        <w:ind w:left="851" w:hanging="851"/>
        <w:jc w:val="center"/>
        <w:rPr>
          <w:rFonts w:ascii="Verdana" w:eastAsia="Times New Roman" w:hAnsi="Verdana" w:cs="Times New Roman"/>
          <w:b/>
          <w:noProof/>
          <w:lang w:val="en-US"/>
        </w:rPr>
      </w:pPr>
    </w:p>
    <w:p w:rsidR="00C21440" w:rsidRPr="00C21440" w:rsidRDefault="00C21440" w:rsidP="00C21440">
      <w:pPr>
        <w:spacing w:after="0" w:line="240" w:lineRule="auto"/>
        <w:rPr>
          <w:rFonts w:ascii="Verdana" w:eastAsia="Arial" w:hAnsi="Verdana" w:cs="Times New Roman"/>
          <w:b/>
        </w:rPr>
      </w:pPr>
      <w:r w:rsidRPr="00C21440">
        <w:rPr>
          <w:rFonts w:ascii="Verdana" w:eastAsia="Arial" w:hAnsi="Verdana" w:cs="Times New Roman"/>
        </w:rPr>
        <w:tab/>
      </w:r>
      <w:r w:rsidRPr="00C21440">
        <w:rPr>
          <w:rFonts w:ascii="Verdana" w:eastAsia="Arial" w:hAnsi="Verdana" w:cs="Times New Roman"/>
        </w:rPr>
        <w:tab/>
      </w:r>
      <w:r w:rsidRPr="00C21440">
        <w:rPr>
          <w:rFonts w:ascii="Verdana" w:eastAsia="Arial" w:hAnsi="Verdana" w:cs="Times New Roman"/>
        </w:rPr>
        <w:tab/>
      </w:r>
      <w:r w:rsidRPr="00C21440">
        <w:rPr>
          <w:rFonts w:ascii="Verdana" w:eastAsia="Arial" w:hAnsi="Verdana" w:cs="Times New Roman"/>
          <w:b/>
        </w:rPr>
        <w:t>REPORT BY THE HEAD OF RESOURCES</w:t>
      </w:r>
    </w:p>
    <w:p w:rsidR="00C21440" w:rsidRPr="00C21440" w:rsidRDefault="00C21440" w:rsidP="00C21440">
      <w:pPr>
        <w:spacing w:after="0" w:line="240" w:lineRule="auto"/>
        <w:rPr>
          <w:rFonts w:ascii="Verdana" w:eastAsia="Arial" w:hAnsi="Verdana" w:cs="Times New Roman"/>
          <w:b/>
        </w:rPr>
      </w:pPr>
    </w:p>
    <w:p w:rsidR="00C21440" w:rsidRPr="00C21440" w:rsidRDefault="004B066D" w:rsidP="00C21440">
      <w:pPr>
        <w:spacing w:after="0" w:line="240" w:lineRule="auto"/>
        <w:jc w:val="center"/>
        <w:rPr>
          <w:rFonts w:ascii="Verdana" w:eastAsia="Arial" w:hAnsi="Verdana" w:cs="Times New Roman"/>
          <w:b/>
        </w:rPr>
      </w:pPr>
      <w:r>
        <w:rPr>
          <w:rFonts w:ascii="Verdana" w:eastAsia="Arial" w:hAnsi="Verdana" w:cs="Times New Roman"/>
          <w:b/>
        </w:rPr>
        <w:t xml:space="preserve">STAGE 2: </w:t>
      </w:r>
      <w:r w:rsidR="00C21440">
        <w:rPr>
          <w:rFonts w:ascii="Verdana" w:eastAsia="Arial" w:hAnsi="Verdana" w:cs="Times New Roman"/>
          <w:b/>
        </w:rPr>
        <w:t>NATIO</w:t>
      </w:r>
      <w:r w:rsidR="00C21440" w:rsidRPr="00C21440">
        <w:rPr>
          <w:rFonts w:ascii="Verdana" w:eastAsia="Arial" w:hAnsi="Verdana" w:cs="Times New Roman"/>
          <w:b/>
        </w:rPr>
        <w:t>NAL FUNDING FORMULA UPDATE</w:t>
      </w:r>
    </w:p>
    <w:p w:rsidR="00C21440" w:rsidRDefault="00C21440" w:rsidP="00C21440">
      <w:pPr>
        <w:spacing w:after="0" w:line="240" w:lineRule="auto"/>
        <w:rPr>
          <w:rFonts w:ascii="Verdana" w:eastAsia="Arial" w:hAnsi="Verdana" w:cs="Times New Roman"/>
          <w:b/>
        </w:rPr>
      </w:pPr>
    </w:p>
    <w:p w:rsidR="00B44C44" w:rsidRDefault="00B44C44" w:rsidP="00C21440">
      <w:pPr>
        <w:spacing w:after="0" w:line="240" w:lineRule="auto"/>
        <w:rPr>
          <w:rFonts w:ascii="Verdana" w:eastAsia="Arial" w:hAnsi="Verdana" w:cs="Times New Roman"/>
          <w:b/>
        </w:rPr>
      </w:pPr>
    </w:p>
    <w:tbl>
      <w:tblPr>
        <w:tblStyle w:val="TableGrid"/>
        <w:tblW w:w="0" w:type="auto"/>
        <w:tblLook w:val="04A0" w:firstRow="1" w:lastRow="0" w:firstColumn="1" w:lastColumn="0" w:noHBand="0" w:noVBand="1"/>
      </w:tblPr>
      <w:tblGrid>
        <w:gridCol w:w="9016"/>
      </w:tblGrid>
      <w:tr w:rsidR="00B44C44" w:rsidRPr="00F42627" w:rsidTr="00B44C44">
        <w:tc>
          <w:tcPr>
            <w:tcW w:w="9016" w:type="dxa"/>
          </w:tcPr>
          <w:p w:rsidR="00B44C44" w:rsidRPr="00841857" w:rsidRDefault="00B44C44" w:rsidP="00841857">
            <w:pPr>
              <w:pStyle w:val="Default"/>
              <w:spacing w:line="360" w:lineRule="auto"/>
              <w:jc w:val="both"/>
              <w:rPr>
                <w:rFonts w:ascii="Verdana" w:hAnsi="Verdana"/>
                <w:color w:val="auto"/>
                <w:szCs w:val="23"/>
              </w:rPr>
            </w:pPr>
            <w:r w:rsidRPr="00F42627">
              <w:rPr>
                <w:rFonts w:ascii="Verdana" w:hAnsi="Verdana"/>
                <w:color w:val="auto"/>
                <w:szCs w:val="23"/>
              </w:rPr>
              <w:t>This paper provides a summary of the stage two national funding formula consultation and models the potential impact on schools. To review the transition arrangements prior to the implementation of the national funding formula.</w:t>
            </w:r>
          </w:p>
          <w:p w:rsidR="00B44C44" w:rsidRPr="00F42627" w:rsidRDefault="00B44C44" w:rsidP="004A1C13">
            <w:pPr>
              <w:pStyle w:val="BodyTextIndent"/>
              <w:spacing w:after="0" w:line="360" w:lineRule="auto"/>
              <w:ind w:left="0"/>
              <w:jc w:val="right"/>
              <w:rPr>
                <w:rFonts w:ascii="Verdana" w:hAnsi="Verdana"/>
                <w:sz w:val="24"/>
              </w:rPr>
            </w:pPr>
            <w:r w:rsidRPr="00F42627">
              <w:rPr>
                <w:rFonts w:ascii="Verdana" w:hAnsi="Verdana"/>
                <w:b/>
                <w:bCs/>
                <w:color w:val="auto"/>
                <w:sz w:val="24"/>
                <w:szCs w:val="23"/>
              </w:rPr>
              <w:t>FOR INFORMATION</w:t>
            </w:r>
          </w:p>
        </w:tc>
      </w:tr>
    </w:tbl>
    <w:p w:rsidR="00B44C44" w:rsidRDefault="00B44C44" w:rsidP="00C21440">
      <w:pPr>
        <w:spacing w:after="0" w:line="240" w:lineRule="auto"/>
        <w:rPr>
          <w:rFonts w:ascii="Verdana" w:eastAsia="Arial" w:hAnsi="Verdana" w:cs="Times New Roman"/>
          <w:b/>
        </w:rPr>
      </w:pPr>
    </w:p>
    <w:p w:rsidR="00841857" w:rsidRPr="00C21440" w:rsidRDefault="00841857" w:rsidP="00C21440">
      <w:pPr>
        <w:spacing w:after="0" w:line="240" w:lineRule="auto"/>
        <w:rPr>
          <w:rFonts w:ascii="Verdana" w:eastAsia="Arial" w:hAnsi="Verdana" w:cs="Times New Roman"/>
          <w:b/>
        </w:rPr>
      </w:pPr>
    </w:p>
    <w:p w:rsidR="00C21440" w:rsidRPr="00C21440" w:rsidRDefault="00633B65" w:rsidP="00633B65">
      <w:pPr>
        <w:spacing w:after="0" w:line="360" w:lineRule="auto"/>
        <w:ind w:left="851" w:hanging="851"/>
        <w:rPr>
          <w:rFonts w:ascii="Verdana" w:eastAsia="Times New Roman" w:hAnsi="Verdana" w:cs="Cambria"/>
          <w:b/>
          <w:lang w:eastAsia="en-GB"/>
        </w:rPr>
      </w:pPr>
      <w:r>
        <w:rPr>
          <w:rFonts w:ascii="Verdana" w:eastAsia="Times New Roman" w:hAnsi="Verdana" w:cs="Cambria"/>
          <w:b/>
          <w:lang w:eastAsia="en-GB"/>
        </w:rPr>
        <w:t xml:space="preserve">1 </w:t>
      </w:r>
      <w:r>
        <w:rPr>
          <w:rFonts w:ascii="Verdana" w:eastAsia="Times New Roman" w:hAnsi="Verdana" w:cs="Cambria"/>
          <w:b/>
          <w:lang w:eastAsia="en-GB"/>
        </w:rPr>
        <w:tab/>
        <w:t>National Funding Formula consultation</w:t>
      </w:r>
    </w:p>
    <w:p w:rsidR="00B02927" w:rsidRPr="006F6AF8" w:rsidRDefault="00B02927" w:rsidP="00633B65">
      <w:pPr>
        <w:pStyle w:val="NormalWeb"/>
        <w:spacing w:before="0" w:beforeAutospacing="0" w:after="0" w:afterAutospacing="0" w:line="360" w:lineRule="auto"/>
        <w:ind w:left="851" w:right="-1" w:hanging="851"/>
        <w:jc w:val="both"/>
        <w:rPr>
          <w:rFonts w:ascii="Verdana" w:hAnsi="Verdana"/>
        </w:rPr>
      </w:pPr>
      <w:r>
        <w:rPr>
          <w:rFonts w:ascii="Verdana" w:hAnsi="Verdana"/>
        </w:rPr>
        <w:t>1.1</w:t>
      </w:r>
      <w:r>
        <w:rPr>
          <w:rFonts w:ascii="Verdana" w:hAnsi="Verdana"/>
        </w:rPr>
        <w:tab/>
      </w:r>
      <w:r w:rsidRPr="006F6AF8">
        <w:rPr>
          <w:rFonts w:ascii="Verdana" w:hAnsi="Verdana"/>
        </w:rPr>
        <w:t>From 2017-18, the amount of money schools and local authorities get will be based on the characteristics of their pupils rather than purely historic calculations.</w:t>
      </w:r>
    </w:p>
    <w:p w:rsidR="00B02927" w:rsidRPr="006F6AF8" w:rsidRDefault="00B02927" w:rsidP="00633B65">
      <w:pPr>
        <w:pStyle w:val="NormalWeb"/>
        <w:spacing w:before="0" w:beforeAutospacing="0" w:after="0" w:afterAutospacing="0" w:line="360" w:lineRule="auto"/>
        <w:ind w:left="851" w:hanging="851"/>
        <w:jc w:val="both"/>
        <w:rPr>
          <w:rFonts w:ascii="Verdana" w:hAnsi="Verdana"/>
        </w:rPr>
      </w:pPr>
      <w:r>
        <w:rPr>
          <w:rFonts w:ascii="Verdana" w:hAnsi="Verdana"/>
        </w:rPr>
        <w:t>1.2</w:t>
      </w:r>
      <w:r>
        <w:rPr>
          <w:rFonts w:ascii="Verdana" w:hAnsi="Verdana"/>
        </w:rPr>
        <w:tab/>
      </w:r>
      <w:r w:rsidRPr="006F6AF8">
        <w:rPr>
          <w:rFonts w:ascii="Verdana" w:hAnsi="Verdana"/>
        </w:rPr>
        <w:t>A government source said: “This is a key part of our goal of extending opportunity and providing educational excellence, everywhere.</w:t>
      </w:r>
      <w:r w:rsidRPr="00C97F64">
        <w:rPr>
          <w:rFonts w:ascii="Verdana" w:hAnsi="Verdana"/>
        </w:rPr>
        <w:t xml:space="preserve"> </w:t>
      </w:r>
      <w:r w:rsidRPr="006F6AF8">
        <w:rPr>
          <w:rFonts w:ascii="Verdana" w:hAnsi="Verdana"/>
        </w:rPr>
        <w:t>It means bringing an end to a system that has become arbitrary and unfair. We’ll ensure that there is a smooth transition, with a pace of change that is manageable for schools and local authorities.</w:t>
      </w:r>
      <w:r w:rsidR="00B50A51">
        <w:rPr>
          <w:rFonts w:ascii="Verdana" w:hAnsi="Verdana"/>
        </w:rPr>
        <w:t xml:space="preserve"> </w:t>
      </w:r>
      <w:r w:rsidRPr="006F6AF8">
        <w:rPr>
          <w:rFonts w:ascii="Verdana" w:hAnsi="Verdana"/>
        </w:rPr>
        <w:t>We are ensuring schools across England are funded fairly so that parents know all pupils, whatever their background and wherever they live in the country, have access to a good education.”</w:t>
      </w:r>
    </w:p>
    <w:p w:rsidR="00B02927" w:rsidRDefault="00B50A51" w:rsidP="00633B65">
      <w:pPr>
        <w:pStyle w:val="NormalWeb"/>
        <w:spacing w:before="0" w:beforeAutospacing="0" w:after="0" w:afterAutospacing="0" w:line="360" w:lineRule="auto"/>
        <w:ind w:left="851" w:hanging="851"/>
        <w:jc w:val="both"/>
        <w:rPr>
          <w:rFonts w:ascii="Verdana" w:hAnsi="Verdana"/>
        </w:rPr>
      </w:pPr>
      <w:r>
        <w:rPr>
          <w:rFonts w:ascii="Verdana" w:hAnsi="Verdana"/>
        </w:rPr>
        <w:t>1.3</w:t>
      </w:r>
      <w:r w:rsidR="00B02927">
        <w:rPr>
          <w:rFonts w:ascii="Verdana" w:hAnsi="Verdana"/>
        </w:rPr>
        <w:tab/>
      </w:r>
      <w:r w:rsidR="00B02927" w:rsidRPr="004B0352">
        <w:rPr>
          <w:rFonts w:ascii="Verdana" w:hAnsi="Verdana"/>
        </w:rPr>
        <w:t>Among the proposals announced, the Department for Education (DfE) sets out plans to fund schools directly from 2019/20, which would significantly reduce the role of local authorities and school’s forums in determining allocations. It also proposes a new ‘central schools’ block of funding for local authorities to deliver their statutory duties.</w:t>
      </w:r>
    </w:p>
    <w:p w:rsidR="00B02927" w:rsidRPr="006F6AF8" w:rsidRDefault="00B50A51" w:rsidP="00633B65">
      <w:pPr>
        <w:pStyle w:val="NormalWeb"/>
        <w:spacing w:before="0" w:beforeAutospacing="0" w:after="0" w:afterAutospacing="0" w:line="360" w:lineRule="auto"/>
        <w:ind w:left="851" w:hanging="851"/>
        <w:jc w:val="both"/>
        <w:rPr>
          <w:rFonts w:ascii="Verdana" w:hAnsi="Verdana"/>
        </w:rPr>
      </w:pPr>
      <w:r>
        <w:rPr>
          <w:rFonts w:ascii="Verdana" w:hAnsi="Verdana"/>
        </w:rPr>
        <w:lastRenderedPageBreak/>
        <w:t>1.4</w:t>
      </w:r>
      <w:r w:rsidR="00B02927">
        <w:rPr>
          <w:rFonts w:ascii="Verdana" w:hAnsi="Verdana"/>
        </w:rPr>
        <w:tab/>
      </w:r>
      <w:r w:rsidR="00B02927" w:rsidRPr="006F6AF8">
        <w:rPr>
          <w:rFonts w:ascii="Verdana" w:hAnsi="Verdana"/>
        </w:rPr>
        <w:t>At the heart of this highly charged debate are historical disparities in funding between schools in different areas. A complex array of local and national funding arrangements, developed over decades, can mean schools that are barely miles apart but sit across borough or county boundaries receive vastly different funding per pupil.</w:t>
      </w:r>
    </w:p>
    <w:p w:rsidR="00356B97" w:rsidRDefault="00356B97" w:rsidP="00633B65">
      <w:pPr>
        <w:pStyle w:val="Default"/>
        <w:spacing w:line="360" w:lineRule="auto"/>
        <w:ind w:left="851" w:right="1275" w:hanging="851"/>
      </w:pPr>
    </w:p>
    <w:p w:rsidR="00356B97" w:rsidRPr="00B02927" w:rsidRDefault="00B02927" w:rsidP="00633B65">
      <w:pPr>
        <w:pStyle w:val="Default"/>
        <w:numPr>
          <w:ilvl w:val="0"/>
          <w:numId w:val="10"/>
        </w:numPr>
        <w:spacing w:line="360" w:lineRule="auto"/>
        <w:ind w:left="851" w:hanging="851"/>
        <w:jc w:val="both"/>
        <w:rPr>
          <w:rFonts w:ascii="Verdana" w:hAnsi="Verdana"/>
        </w:rPr>
      </w:pPr>
      <w:r w:rsidRPr="00B02927">
        <w:rPr>
          <w:rFonts w:ascii="Verdana" w:hAnsi="Verdana"/>
          <w:b/>
          <w:bCs/>
        </w:rPr>
        <w:t xml:space="preserve">Second Stage: National Funding Formula </w:t>
      </w:r>
      <w:r w:rsidR="00356B97" w:rsidRPr="00B02927">
        <w:rPr>
          <w:rFonts w:ascii="Verdana" w:hAnsi="Verdana"/>
          <w:b/>
          <w:bCs/>
        </w:rPr>
        <w:t xml:space="preserve"> </w:t>
      </w:r>
    </w:p>
    <w:p w:rsidR="00356B97" w:rsidRPr="00B02927" w:rsidRDefault="00B02927" w:rsidP="00633B65">
      <w:pPr>
        <w:pStyle w:val="Default"/>
        <w:spacing w:line="360" w:lineRule="auto"/>
        <w:ind w:left="851" w:hanging="851"/>
        <w:jc w:val="both"/>
        <w:rPr>
          <w:rFonts w:ascii="Verdana" w:hAnsi="Verdana"/>
        </w:rPr>
      </w:pPr>
      <w:r w:rsidRPr="00B02927">
        <w:rPr>
          <w:rFonts w:ascii="Verdana" w:hAnsi="Verdana"/>
        </w:rPr>
        <w:t>2.</w:t>
      </w:r>
      <w:r>
        <w:rPr>
          <w:rFonts w:ascii="Verdana" w:hAnsi="Verdana"/>
        </w:rPr>
        <w:t>1</w:t>
      </w:r>
      <w:r w:rsidRPr="00B02927">
        <w:rPr>
          <w:rFonts w:ascii="Verdana" w:hAnsi="Verdana"/>
        </w:rPr>
        <w:tab/>
      </w:r>
      <w:r w:rsidR="00356B97" w:rsidRPr="00B02927">
        <w:rPr>
          <w:rFonts w:ascii="Verdana" w:hAnsi="Verdana"/>
        </w:rPr>
        <w:t>The second phase consultation for the NFF for schools and high needs was launched by the Department for Education (DfE) on the 14th December 2016, with responses accepted until 22nd March 2017. The consultation provides detailed proposals for the design of the new national funding formulae for schools and high needs, and for the new central school services block for local authorities. It builds on the previous consultation about the principles and structure of the new funding system, which ran between March and April 2016.</w:t>
      </w:r>
    </w:p>
    <w:p w:rsidR="00356B97" w:rsidRPr="00B02927" w:rsidRDefault="00356B97" w:rsidP="00633B65">
      <w:pPr>
        <w:pStyle w:val="Default"/>
        <w:numPr>
          <w:ilvl w:val="1"/>
          <w:numId w:val="11"/>
        </w:numPr>
        <w:spacing w:line="360" w:lineRule="auto"/>
        <w:ind w:left="851" w:hanging="851"/>
        <w:jc w:val="both"/>
        <w:rPr>
          <w:rFonts w:ascii="Verdana" w:hAnsi="Verdana"/>
        </w:rPr>
      </w:pPr>
      <w:r w:rsidRPr="00B02927">
        <w:rPr>
          <w:rFonts w:ascii="Verdana" w:hAnsi="Verdana"/>
        </w:rPr>
        <w:t>The first consultation set out proposals to create a new NFF based on redistribution of the existing funding pot. London Councils’ preliminary modelling of these proposals estimated that London could lose £245m per year through a new NFF based on redistribution without any capping or additional investment. London</w:t>
      </w:r>
      <w:r w:rsidR="00621224">
        <w:rPr>
          <w:rFonts w:ascii="Verdana" w:hAnsi="Verdana"/>
        </w:rPr>
        <w:t xml:space="preserve"> Schools, </w:t>
      </w:r>
      <w:r w:rsidRPr="00B02927">
        <w:rPr>
          <w:rFonts w:ascii="Verdana" w:hAnsi="Verdana"/>
        </w:rPr>
        <w:t>MPs</w:t>
      </w:r>
      <w:r w:rsidR="00621224">
        <w:rPr>
          <w:rFonts w:ascii="Verdana" w:hAnsi="Verdana"/>
        </w:rPr>
        <w:t xml:space="preserve"> and Local Authorities </w:t>
      </w:r>
      <w:r w:rsidR="00667628">
        <w:rPr>
          <w:rFonts w:ascii="Verdana" w:hAnsi="Verdana"/>
        </w:rPr>
        <w:t>lobbied</w:t>
      </w:r>
      <w:r w:rsidR="00621224">
        <w:rPr>
          <w:rFonts w:ascii="Verdana" w:hAnsi="Verdana"/>
        </w:rPr>
        <w:t xml:space="preserve"> strongly for stability in funding and </w:t>
      </w:r>
      <w:r w:rsidRPr="00B02927">
        <w:rPr>
          <w:rFonts w:ascii="Verdana" w:hAnsi="Verdana"/>
        </w:rPr>
        <w:t>extra inves</w:t>
      </w:r>
      <w:r w:rsidR="00621224">
        <w:rPr>
          <w:rFonts w:ascii="Verdana" w:hAnsi="Verdana"/>
        </w:rPr>
        <w:t>tment</w:t>
      </w:r>
      <w:r w:rsidRPr="00B02927">
        <w:rPr>
          <w:rFonts w:ascii="Verdana" w:hAnsi="Verdana"/>
        </w:rPr>
        <w:t xml:space="preserve"> in education to ensure that no school loses funding and those set to gain receive the funding as soon as possible. </w:t>
      </w:r>
    </w:p>
    <w:p w:rsidR="00356B97" w:rsidRPr="00633B65" w:rsidRDefault="00621224" w:rsidP="00633B65">
      <w:pPr>
        <w:pStyle w:val="Default"/>
        <w:spacing w:line="360" w:lineRule="auto"/>
        <w:ind w:left="851" w:hanging="851"/>
        <w:jc w:val="both"/>
        <w:rPr>
          <w:rFonts w:ascii="Verdana" w:hAnsi="Verdana"/>
        </w:rPr>
      </w:pPr>
      <w:r>
        <w:rPr>
          <w:rFonts w:ascii="Verdana" w:hAnsi="Verdana"/>
        </w:rPr>
        <w:t>2.3</w:t>
      </w:r>
      <w:r w:rsidR="00356B97" w:rsidRPr="00B02927">
        <w:rPr>
          <w:rFonts w:ascii="Verdana" w:hAnsi="Verdana"/>
        </w:rPr>
        <w:tab/>
        <w:t xml:space="preserve">The new consultation states that under the proposed funding formula changes, a total of 10,740 schools (54 per cent) in England would be funded at a higher level than in 2016-17. However, it also confirms that 9,128 schools (46 per cent) would be funded at a lower rate. It is the intention of the DfE to move towards this new funding formula in 2018-19, which will be a transitional year, with a view </w:t>
      </w:r>
      <w:r w:rsidR="00356B97" w:rsidRPr="00B02927">
        <w:rPr>
          <w:rFonts w:ascii="Verdana" w:hAnsi="Verdana"/>
        </w:rPr>
        <w:lastRenderedPageBreak/>
        <w:t xml:space="preserve">that the hard formula will be implemented for 2019-20. A total of 101 local authority areas will see gains and 49 will see reductions. </w:t>
      </w:r>
    </w:p>
    <w:p w:rsidR="00356B97" w:rsidRPr="00633B65" w:rsidRDefault="00356B97" w:rsidP="00633B65">
      <w:pPr>
        <w:pStyle w:val="Default"/>
        <w:numPr>
          <w:ilvl w:val="1"/>
          <w:numId w:val="12"/>
        </w:numPr>
        <w:spacing w:line="360" w:lineRule="auto"/>
        <w:ind w:left="851" w:hanging="851"/>
        <w:jc w:val="both"/>
        <w:rPr>
          <w:rFonts w:ascii="Verdana" w:hAnsi="Verdana"/>
        </w:rPr>
      </w:pPr>
      <w:r w:rsidRPr="00B02927">
        <w:rPr>
          <w:rFonts w:ascii="Verdana" w:hAnsi="Verdana"/>
        </w:rPr>
        <w:t>The publication of the second stage consultation is an important step to delivering a national funding formula. It is the first time the DfE has provided illustrative allocations by school and local authority, so it is possible to understand the scale and size of funding gains or losses. While DfE stresses the illustrative allocations are based on current pupil characteristics, which are likely to change between now and when the national funding formula is implemented, it is the most accurate basis for analysis.</w:t>
      </w:r>
    </w:p>
    <w:p w:rsidR="00621224" w:rsidRDefault="00621224" w:rsidP="00633B65">
      <w:pPr>
        <w:pStyle w:val="Default"/>
        <w:spacing w:line="360" w:lineRule="auto"/>
        <w:ind w:left="851" w:hanging="851"/>
        <w:jc w:val="both"/>
        <w:rPr>
          <w:rFonts w:ascii="Verdana" w:hAnsi="Verdana"/>
        </w:rPr>
      </w:pPr>
      <w:r>
        <w:rPr>
          <w:rFonts w:ascii="Verdana" w:hAnsi="Verdana"/>
        </w:rPr>
        <w:t>2.5</w:t>
      </w:r>
      <w:r w:rsidR="00356B97" w:rsidRPr="00B02927">
        <w:rPr>
          <w:rFonts w:ascii="Verdana" w:hAnsi="Verdana"/>
        </w:rPr>
        <w:tab/>
        <w:t>Set out within the consultation, the DfE has also committed to allocating an additional £200m in 2018-19 and 2019-</w:t>
      </w:r>
      <w:r w:rsidR="00633B65">
        <w:rPr>
          <w:rFonts w:ascii="Verdana" w:hAnsi="Verdana"/>
        </w:rPr>
        <w:t>20 (a total of £400m over a two-</w:t>
      </w:r>
      <w:r w:rsidR="00356B97" w:rsidRPr="00B02927">
        <w:rPr>
          <w:rFonts w:ascii="Verdana" w:hAnsi="Verdana"/>
        </w:rPr>
        <w:t xml:space="preserve">year period) on top of the current value of the </w:t>
      </w:r>
      <w:proofErr w:type="gramStart"/>
      <w:r w:rsidR="00356B97" w:rsidRPr="00B02927">
        <w:rPr>
          <w:rFonts w:ascii="Verdana" w:hAnsi="Verdana"/>
        </w:rPr>
        <w:t>schools</w:t>
      </w:r>
      <w:proofErr w:type="gramEnd"/>
      <w:r w:rsidR="00356B97" w:rsidRPr="00B02927">
        <w:rPr>
          <w:rFonts w:ascii="Verdana" w:hAnsi="Verdana"/>
        </w:rPr>
        <w:t xml:space="preserve"> block. This money has been found to provide protections for schools facing reductions and rapid increases for those set to gain. In addition, the consultation sets out: </w:t>
      </w:r>
    </w:p>
    <w:p w:rsidR="00621224" w:rsidRPr="00621224" w:rsidRDefault="00356B97" w:rsidP="00AC27C8">
      <w:pPr>
        <w:pStyle w:val="Default"/>
        <w:numPr>
          <w:ilvl w:val="0"/>
          <w:numId w:val="17"/>
        </w:numPr>
        <w:spacing w:line="360" w:lineRule="auto"/>
        <w:ind w:left="1418" w:hanging="567"/>
        <w:jc w:val="both"/>
        <w:rPr>
          <w:rFonts w:ascii="Verdana" w:hAnsi="Verdana"/>
        </w:rPr>
      </w:pPr>
      <w:r w:rsidRPr="00621224">
        <w:rPr>
          <w:rFonts w:ascii="Verdana" w:hAnsi="Verdana"/>
          <w:b/>
          <w:bCs/>
        </w:rPr>
        <w:t xml:space="preserve">Funding floor </w:t>
      </w:r>
      <w:r w:rsidRPr="00621224">
        <w:rPr>
          <w:rFonts w:ascii="Verdana" w:hAnsi="Verdana"/>
        </w:rPr>
        <w:t>– ensuring no school will see their per pupil funding amount decrease by more than 3%</w:t>
      </w:r>
    </w:p>
    <w:p w:rsidR="00633B65" w:rsidRPr="00633B65" w:rsidRDefault="00356B97" w:rsidP="00AC27C8">
      <w:pPr>
        <w:pStyle w:val="ListParagraph"/>
        <w:numPr>
          <w:ilvl w:val="0"/>
          <w:numId w:val="17"/>
        </w:numPr>
        <w:spacing w:after="0" w:line="360" w:lineRule="auto"/>
        <w:ind w:left="1418" w:hanging="567"/>
        <w:jc w:val="both"/>
        <w:rPr>
          <w:rFonts w:ascii="Verdana" w:hAnsi="Verdana"/>
        </w:rPr>
      </w:pPr>
      <w:r w:rsidRPr="00633B65">
        <w:rPr>
          <w:rFonts w:ascii="Verdana" w:hAnsi="Verdana"/>
          <w:b/>
        </w:rPr>
        <w:t xml:space="preserve">Funding </w:t>
      </w:r>
      <w:r w:rsidR="00231D7A" w:rsidRPr="00633B65">
        <w:rPr>
          <w:rFonts w:ascii="Verdana" w:hAnsi="Verdana"/>
          <w:b/>
        </w:rPr>
        <w:t>G</w:t>
      </w:r>
      <w:r w:rsidRPr="00633B65">
        <w:rPr>
          <w:rFonts w:ascii="Verdana" w:hAnsi="Verdana"/>
          <w:b/>
        </w:rPr>
        <w:t xml:space="preserve">ains </w:t>
      </w:r>
      <w:r w:rsidRPr="00633B65">
        <w:rPr>
          <w:rFonts w:ascii="Verdana" w:hAnsi="Verdana"/>
        </w:rPr>
        <w:t xml:space="preserve">- schools that will see their per pupil funding </w:t>
      </w:r>
      <w:r w:rsidR="00621224" w:rsidRPr="00633B65">
        <w:rPr>
          <w:rFonts w:ascii="Verdana" w:hAnsi="Verdana"/>
        </w:rPr>
        <w:t>a</w:t>
      </w:r>
      <w:r w:rsidRPr="00633B65">
        <w:rPr>
          <w:rFonts w:ascii="Verdana" w:hAnsi="Verdana"/>
        </w:rPr>
        <w:t>mount increase will receive gains of up to 3% per-pupil in 2018-19, and then up to a further 2.5% in 2019-20. So a school could see its per pupil a</w:t>
      </w:r>
      <w:r w:rsidR="002D76D5">
        <w:rPr>
          <w:rFonts w:ascii="Verdana" w:hAnsi="Verdana"/>
        </w:rPr>
        <w:t>mount increase by a maximum 5.5</w:t>
      </w:r>
      <w:r w:rsidRPr="00633B65">
        <w:rPr>
          <w:rFonts w:ascii="Verdana" w:hAnsi="Verdana"/>
        </w:rPr>
        <w:t>% compared</w:t>
      </w:r>
      <w:r w:rsidR="00633B65">
        <w:rPr>
          <w:rFonts w:ascii="Verdana" w:hAnsi="Verdana"/>
        </w:rPr>
        <w:t xml:space="preserve"> to current levels within a two-</w:t>
      </w:r>
      <w:r w:rsidRPr="00633B65">
        <w:rPr>
          <w:rFonts w:ascii="Verdana" w:hAnsi="Verdana"/>
        </w:rPr>
        <w:t xml:space="preserve">year period. </w:t>
      </w:r>
    </w:p>
    <w:p w:rsidR="00F8763F" w:rsidRPr="00633B65" w:rsidRDefault="00F8763F" w:rsidP="00AC27C8">
      <w:pPr>
        <w:pStyle w:val="ListParagraph"/>
        <w:numPr>
          <w:ilvl w:val="0"/>
          <w:numId w:val="17"/>
        </w:numPr>
        <w:spacing w:after="0" w:line="360" w:lineRule="auto"/>
        <w:ind w:left="1418" w:hanging="567"/>
        <w:jc w:val="both"/>
        <w:rPr>
          <w:rFonts w:ascii="Verdana" w:hAnsi="Verdana"/>
        </w:rPr>
      </w:pPr>
      <w:r w:rsidRPr="00633B65">
        <w:rPr>
          <w:rFonts w:ascii="Verdana" w:eastAsia="Times New Roman" w:hAnsi="Verdana" w:cs="Arial"/>
          <w:b/>
          <w:lang w:val="en"/>
        </w:rPr>
        <w:t>Central School Services</w:t>
      </w:r>
      <w:r w:rsidRPr="00633B65">
        <w:rPr>
          <w:rFonts w:ascii="Verdana" w:eastAsia="Times New Roman" w:hAnsi="Verdana" w:cs="Arial"/>
          <w:lang w:val="en"/>
        </w:rPr>
        <w:t xml:space="preserve"> - There is to be a new funding block for LAs</w:t>
      </w:r>
      <w:r w:rsidR="006C4D9F" w:rsidRPr="00633B65">
        <w:rPr>
          <w:rFonts w:ascii="Verdana" w:eastAsia="Times New Roman" w:hAnsi="Verdana" w:cs="Arial"/>
          <w:lang w:val="en"/>
        </w:rPr>
        <w:t>.</w:t>
      </w:r>
    </w:p>
    <w:p w:rsidR="00F8763F" w:rsidRDefault="00F8763F" w:rsidP="00AC27C8">
      <w:pPr>
        <w:pStyle w:val="ListParagraph"/>
        <w:numPr>
          <w:ilvl w:val="0"/>
          <w:numId w:val="17"/>
        </w:numPr>
        <w:spacing w:after="0" w:line="360" w:lineRule="auto"/>
        <w:ind w:left="1418" w:hanging="567"/>
        <w:rPr>
          <w:rFonts w:ascii="Verdana" w:eastAsia="Times New Roman" w:hAnsi="Verdana" w:cs="Arial"/>
          <w:lang w:val="en"/>
        </w:rPr>
      </w:pPr>
      <w:r w:rsidRPr="00633B65">
        <w:rPr>
          <w:rFonts w:ascii="Verdana" w:eastAsia="Times New Roman" w:hAnsi="Verdana" w:cs="Arial"/>
          <w:b/>
          <w:lang w:val="en"/>
        </w:rPr>
        <w:t>Pupil Premium</w:t>
      </w:r>
      <w:r w:rsidRPr="00633B65">
        <w:rPr>
          <w:rFonts w:ascii="Verdana" w:eastAsia="Times New Roman" w:hAnsi="Verdana" w:cs="Arial"/>
          <w:lang w:val="en"/>
        </w:rPr>
        <w:t xml:space="preserve"> - will remain as a separate grant; Looked After Children will only be funded through PP+, which will increase.</w:t>
      </w:r>
    </w:p>
    <w:p w:rsidR="00633B65" w:rsidRPr="00633B65" w:rsidRDefault="00633B65" w:rsidP="00633B65">
      <w:pPr>
        <w:pStyle w:val="ListParagraph"/>
        <w:spacing w:after="0" w:line="360" w:lineRule="auto"/>
        <w:ind w:left="1276"/>
        <w:rPr>
          <w:rFonts w:ascii="Verdana" w:eastAsia="Times New Roman" w:hAnsi="Verdana" w:cs="Arial"/>
          <w:lang w:val="en"/>
        </w:rPr>
      </w:pPr>
    </w:p>
    <w:p w:rsidR="00356B97" w:rsidRPr="00231D7A" w:rsidRDefault="00621224" w:rsidP="00633B65">
      <w:pPr>
        <w:spacing w:after="0" w:line="360" w:lineRule="auto"/>
        <w:ind w:left="851" w:hanging="851"/>
        <w:jc w:val="both"/>
        <w:rPr>
          <w:rFonts w:ascii="Verdana" w:hAnsi="Verdana"/>
        </w:rPr>
      </w:pPr>
      <w:r w:rsidRPr="00231D7A">
        <w:rPr>
          <w:rFonts w:ascii="Verdana" w:hAnsi="Verdana"/>
        </w:rPr>
        <w:t>2.6</w:t>
      </w:r>
      <w:r w:rsidRPr="00231D7A">
        <w:tab/>
      </w:r>
      <w:r w:rsidR="00356B97" w:rsidRPr="00231D7A">
        <w:rPr>
          <w:rFonts w:ascii="Verdana" w:hAnsi="Verdana"/>
        </w:rPr>
        <w:t xml:space="preserve">These changes to the proposals to the NFF set out in the first consultation and additional funding that has been announced have </w:t>
      </w:r>
      <w:r w:rsidR="00356B97" w:rsidRPr="00231D7A">
        <w:rPr>
          <w:rFonts w:ascii="Verdana" w:hAnsi="Verdana"/>
        </w:rPr>
        <w:lastRenderedPageBreak/>
        <w:t xml:space="preserve">resulted in London losing less funding than predicted, however it will see larger reductions in funding than anywhere else in the country. </w:t>
      </w:r>
    </w:p>
    <w:p w:rsidR="00356B97" w:rsidRPr="00231D7A" w:rsidRDefault="00621224" w:rsidP="00633B65">
      <w:pPr>
        <w:spacing w:after="0" w:line="360" w:lineRule="auto"/>
        <w:ind w:left="851" w:hanging="851"/>
        <w:jc w:val="both"/>
        <w:rPr>
          <w:rFonts w:ascii="Verdana" w:hAnsi="Verdana"/>
        </w:rPr>
      </w:pPr>
      <w:r w:rsidRPr="00231D7A">
        <w:t>2.7</w:t>
      </w:r>
      <w:r w:rsidRPr="00231D7A">
        <w:tab/>
      </w:r>
      <w:r w:rsidR="00356B97" w:rsidRPr="00231D7A">
        <w:rPr>
          <w:rFonts w:ascii="Verdana" w:hAnsi="Verdana"/>
        </w:rPr>
        <w:t xml:space="preserve">More schools in London will see reductions in their allocations in 2019-20 compared to all other regions. A total of 1,536 schools (70 per cent) will receive less funding, followed by 58 per cent of schools in the North West and 53 per cent of schools in the West Midlands. </w:t>
      </w:r>
    </w:p>
    <w:p w:rsidR="00231D7A" w:rsidRPr="00231D7A" w:rsidRDefault="00231D7A" w:rsidP="00633B65">
      <w:pPr>
        <w:spacing w:after="0" w:line="360" w:lineRule="auto"/>
        <w:ind w:left="851" w:hanging="851"/>
        <w:rPr>
          <w:rFonts w:ascii="Verdana" w:hAnsi="Verdana"/>
        </w:rPr>
      </w:pPr>
    </w:p>
    <w:p w:rsidR="00006D26" w:rsidRPr="00231D7A" w:rsidRDefault="006E4455" w:rsidP="00633B65">
      <w:pPr>
        <w:pStyle w:val="Default"/>
        <w:spacing w:line="360" w:lineRule="auto"/>
        <w:ind w:left="851" w:hanging="851"/>
        <w:rPr>
          <w:rFonts w:ascii="Verdana" w:hAnsi="Verdana"/>
          <w:b/>
        </w:rPr>
      </w:pPr>
      <w:r>
        <w:rPr>
          <w:rFonts w:ascii="Verdana" w:hAnsi="Verdana"/>
          <w:b/>
        </w:rPr>
        <w:t>3</w:t>
      </w:r>
      <w:r w:rsidR="00621224" w:rsidRPr="00231D7A">
        <w:rPr>
          <w:rFonts w:ascii="Verdana" w:hAnsi="Verdana"/>
          <w:b/>
        </w:rPr>
        <w:tab/>
        <w:t xml:space="preserve">Impact on </w:t>
      </w:r>
      <w:r w:rsidR="00CA6860">
        <w:rPr>
          <w:rFonts w:ascii="Verdana" w:hAnsi="Verdana"/>
          <w:b/>
        </w:rPr>
        <w:t xml:space="preserve">Westminster </w:t>
      </w:r>
      <w:r w:rsidR="00AC27C8">
        <w:rPr>
          <w:rFonts w:ascii="Verdana" w:hAnsi="Verdana"/>
          <w:b/>
        </w:rPr>
        <w:t>s</w:t>
      </w:r>
      <w:r w:rsidR="00621224" w:rsidRPr="00231D7A">
        <w:rPr>
          <w:rFonts w:ascii="Verdana" w:hAnsi="Verdana"/>
          <w:b/>
        </w:rPr>
        <w:t>chools</w:t>
      </w:r>
    </w:p>
    <w:p w:rsidR="0030119C" w:rsidRDefault="00621224" w:rsidP="00633B65">
      <w:pPr>
        <w:pStyle w:val="Default"/>
        <w:spacing w:line="360" w:lineRule="auto"/>
        <w:ind w:left="851" w:hanging="851"/>
        <w:rPr>
          <w:rFonts w:ascii="Verdana" w:hAnsi="Verdana"/>
        </w:rPr>
      </w:pPr>
      <w:r w:rsidRPr="00231D7A">
        <w:rPr>
          <w:rFonts w:ascii="Verdana" w:hAnsi="Verdana"/>
        </w:rPr>
        <w:t>3.1</w:t>
      </w:r>
      <w:r w:rsidRPr="00231D7A">
        <w:rPr>
          <w:rFonts w:ascii="Verdana" w:hAnsi="Verdana"/>
        </w:rPr>
        <w:tab/>
        <w:t>As part of the second stage of the consultation</w:t>
      </w:r>
      <w:r w:rsidR="00513CC3" w:rsidRPr="00231D7A">
        <w:rPr>
          <w:rFonts w:ascii="Verdana" w:hAnsi="Verdana"/>
        </w:rPr>
        <w:t xml:space="preserve"> the DfE have issued indicative figures to show the funding at </w:t>
      </w:r>
      <w:r w:rsidR="00480226" w:rsidRPr="00231D7A">
        <w:rPr>
          <w:rFonts w:ascii="Verdana" w:hAnsi="Verdana"/>
        </w:rPr>
        <w:t>an</w:t>
      </w:r>
      <w:r w:rsidR="00513CC3" w:rsidRPr="00231D7A">
        <w:rPr>
          <w:rFonts w:ascii="Verdana" w:hAnsi="Verdana"/>
        </w:rPr>
        <w:t xml:space="preserve"> individual school level based on the 2016 data set. </w:t>
      </w:r>
    </w:p>
    <w:p w:rsidR="0030119C" w:rsidRPr="00231D7A" w:rsidRDefault="0030119C" w:rsidP="00633B65">
      <w:pPr>
        <w:pStyle w:val="Default"/>
        <w:spacing w:line="360" w:lineRule="auto"/>
        <w:ind w:left="851" w:hanging="851"/>
        <w:jc w:val="both"/>
        <w:rPr>
          <w:rFonts w:ascii="Verdana" w:hAnsi="Verdana"/>
        </w:rPr>
      </w:pPr>
      <w:r w:rsidRPr="00231D7A">
        <w:rPr>
          <w:rFonts w:ascii="Verdana" w:hAnsi="Verdana"/>
        </w:rPr>
        <w:t>3.</w:t>
      </w:r>
      <w:r w:rsidR="0023103E">
        <w:rPr>
          <w:rFonts w:ascii="Verdana" w:hAnsi="Verdana"/>
        </w:rPr>
        <w:t>2</w:t>
      </w:r>
      <w:r w:rsidRPr="00231D7A">
        <w:rPr>
          <w:rFonts w:ascii="Verdana" w:hAnsi="Verdana"/>
        </w:rPr>
        <w:tab/>
        <w:t>In addition Schools in England report that they are facing rising cost pressures, especially from increased staffing costs. The Institute for Fiscal Studies (IFS) estimated in April 2016 that there would be at least a 7% real terms reduction in per-pupil spending between 2015-16 and 2019-20, or about 8% if changes in the costs likely to be faced by schools were also accounted for.</w:t>
      </w:r>
    </w:p>
    <w:p w:rsidR="00633B65" w:rsidRDefault="0030119C" w:rsidP="00633B65">
      <w:pPr>
        <w:pStyle w:val="Default"/>
        <w:spacing w:line="360" w:lineRule="auto"/>
        <w:ind w:left="851" w:hanging="851"/>
        <w:jc w:val="both"/>
        <w:rPr>
          <w:rFonts w:ascii="Verdana" w:hAnsi="Verdana"/>
        </w:rPr>
      </w:pPr>
      <w:r w:rsidRPr="00231D7A">
        <w:rPr>
          <w:rFonts w:ascii="Verdana" w:hAnsi="Verdana"/>
        </w:rPr>
        <w:t>3.</w:t>
      </w:r>
      <w:r w:rsidR="0023103E">
        <w:rPr>
          <w:rFonts w:ascii="Verdana" w:hAnsi="Verdana"/>
        </w:rPr>
        <w:t>3</w:t>
      </w:r>
      <w:r w:rsidRPr="00231D7A">
        <w:rPr>
          <w:rFonts w:ascii="Verdana" w:hAnsi="Verdana"/>
        </w:rPr>
        <w:tab/>
        <w:t>The second stage of the consultation ends on the 22</w:t>
      </w:r>
      <w:r w:rsidRPr="00231D7A">
        <w:rPr>
          <w:rFonts w:ascii="Verdana" w:hAnsi="Verdana"/>
          <w:vertAlign w:val="superscript"/>
        </w:rPr>
        <w:t>nd</w:t>
      </w:r>
      <w:r w:rsidRPr="00231D7A">
        <w:rPr>
          <w:rFonts w:ascii="Verdana" w:hAnsi="Verdana"/>
        </w:rPr>
        <w:t xml:space="preserve"> March and the Local Authority will be drafting a response to outline the significant challenges faced by London School. These pressure</w:t>
      </w:r>
      <w:r w:rsidR="002D76D5">
        <w:rPr>
          <w:rFonts w:ascii="Verdana" w:hAnsi="Verdana"/>
        </w:rPr>
        <w:t>s</w:t>
      </w:r>
      <w:r w:rsidRPr="00231D7A">
        <w:rPr>
          <w:rFonts w:ascii="Verdana" w:hAnsi="Verdana"/>
        </w:rPr>
        <w:t xml:space="preserve"> include increasing staffing costs,</w:t>
      </w:r>
      <w:r w:rsidR="00774945">
        <w:rPr>
          <w:rFonts w:ascii="Verdana" w:hAnsi="Verdana"/>
        </w:rPr>
        <w:t xml:space="preserve"> apprenticeship levy,</w:t>
      </w:r>
      <w:r w:rsidRPr="00231D7A">
        <w:rPr>
          <w:rFonts w:ascii="Verdana" w:hAnsi="Verdana"/>
        </w:rPr>
        <w:t xml:space="preserve"> recruitment and retention and the impact of the recent revaluation of National Non Domestic rate</w:t>
      </w:r>
      <w:r>
        <w:rPr>
          <w:rFonts w:ascii="Verdana" w:hAnsi="Verdana"/>
        </w:rPr>
        <w:t>s</w:t>
      </w:r>
      <w:r w:rsidRPr="00231D7A">
        <w:rPr>
          <w:rFonts w:ascii="Verdana" w:hAnsi="Verdana"/>
        </w:rPr>
        <w:t xml:space="preserve"> (NNDR). </w:t>
      </w:r>
    </w:p>
    <w:p w:rsidR="00633B65" w:rsidRDefault="0023103E" w:rsidP="00633B65">
      <w:pPr>
        <w:pStyle w:val="Default"/>
        <w:spacing w:line="360" w:lineRule="auto"/>
        <w:ind w:left="851" w:hanging="851"/>
        <w:jc w:val="both"/>
        <w:rPr>
          <w:rFonts w:ascii="Verdana" w:hAnsi="Verdana"/>
        </w:rPr>
      </w:pPr>
      <w:r>
        <w:rPr>
          <w:rFonts w:ascii="Verdana" w:hAnsi="Verdana"/>
        </w:rPr>
        <w:t>3.4</w:t>
      </w:r>
      <w:r>
        <w:rPr>
          <w:rFonts w:ascii="Verdana" w:hAnsi="Verdana"/>
        </w:rPr>
        <w:tab/>
      </w:r>
      <w:r w:rsidR="00CA6860" w:rsidRPr="00CA6860">
        <w:rPr>
          <w:rFonts w:ascii="Verdana" w:hAnsi="Verdana"/>
        </w:rPr>
        <w:t xml:space="preserve">As for the first stage of consultation, London is worst affected with the majority of London boroughs facing a reduction in total funding for schools in their area. Westminster is again one of the exceptions. </w:t>
      </w:r>
    </w:p>
    <w:p w:rsidR="0023103E" w:rsidRPr="00CA6860" w:rsidRDefault="00633B65" w:rsidP="00633B65">
      <w:pPr>
        <w:pStyle w:val="Default"/>
        <w:spacing w:line="360" w:lineRule="auto"/>
        <w:ind w:left="851" w:hanging="851"/>
        <w:jc w:val="both"/>
        <w:rPr>
          <w:rFonts w:ascii="Verdana" w:hAnsi="Verdana"/>
        </w:rPr>
      </w:pPr>
      <w:r>
        <w:rPr>
          <w:rFonts w:ascii="Verdana" w:hAnsi="Verdana"/>
        </w:rPr>
        <w:t>3.5</w:t>
      </w:r>
      <w:r>
        <w:rPr>
          <w:rFonts w:ascii="Verdana" w:hAnsi="Verdana"/>
        </w:rPr>
        <w:tab/>
      </w:r>
      <w:r w:rsidR="0023103E" w:rsidRPr="00CA6860">
        <w:rPr>
          <w:rFonts w:ascii="Verdana" w:hAnsi="Verdana"/>
        </w:rPr>
        <w:t>The indicative figures show an overall increase of funding of £183k by 2019-20. However, within the overall increase there are a number of winners and losers. Det</w:t>
      </w:r>
      <w:bookmarkStart w:id="0" w:name="_GoBack"/>
      <w:bookmarkEnd w:id="0"/>
      <w:r w:rsidR="0023103E" w:rsidRPr="00CA6860">
        <w:rPr>
          <w:rFonts w:ascii="Verdana" w:hAnsi="Verdana"/>
        </w:rPr>
        <w:t>ailed in the table below is the indicative figures based on the 2016 data set.</w:t>
      </w:r>
    </w:p>
    <w:p w:rsidR="00AA7B8F" w:rsidRDefault="00AA7B8F" w:rsidP="00633B65">
      <w:pPr>
        <w:pStyle w:val="Default"/>
        <w:spacing w:line="360" w:lineRule="auto"/>
        <w:ind w:left="851" w:hanging="851"/>
        <w:jc w:val="both"/>
        <w:rPr>
          <w:rFonts w:ascii="Verdana" w:hAnsi="Verdana"/>
        </w:rPr>
        <w:sectPr w:rsidR="00AA7B8F" w:rsidSect="00BB1E21">
          <w:headerReference w:type="default" r:id="rId8"/>
          <w:footerReference w:type="even" r:id="rId9"/>
          <w:footerReference w:type="default" r:id="rId10"/>
          <w:pgSz w:w="11906" w:h="16838"/>
          <w:pgMar w:top="1440" w:right="1440" w:bottom="1440" w:left="1440" w:header="708" w:footer="708" w:gutter="0"/>
          <w:cols w:space="708"/>
          <w:docGrid w:linePitch="360"/>
        </w:sectPr>
      </w:pPr>
    </w:p>
    <w:p w:rsidR="00AA7B8F" w:rsidRDefault="00AA7B8F" w:rsidP="00633B65">
      <w:pPr>
        <w:pStyle w:val="Default"/>
        <w:spacing w:line="360" w:lineRule="auto"/>
        <w:ind w:left="851" w:hanging="851"/>
        <w:jc w:val="both"/>
        <w:rPr>
          <w:rFonts w:ascii="Verdana" w:hAnsi="Verdana"/>
        </w:rPr>
        <w:sectPr w:rsidR="00AA7B8F" w:rsidSect="00AA7B8F">
          <w:type w:val="continuous"/>
          <w:pgSz w:w="11906" w:h="16838"/>
          <w:pgMar w:top="1440" w:right="1440" w:bottom="1440" w:left="1440" w:header="708" w:footer="708" w:gutter="0"/>
          <w:cols w:space="708"/>
          <w:docGrid w:linePitch="360"/>
        </w:sectPr>
      </w:pPr>
    </w:p>
    <w:p w:rsidR="0023103E" w:rsidRPr="00B44C44" w:rsidRDefault="001B2327" w:rsidP="00B44C44">
      <w:pPr>
        <w:pStyle w:val="Default"/>
        <w:ind w:left="720" w:hanging="720"/>
        <w:rPr>
          <w:rFonts w:ascii="Verdana" w:hAnsi="Verdana"/>
          <w:b/>
        </w:rPr>
      </w:pPr>
      <w:r>
        <w:rPr>
          <w:rFonts w:ascii="Verdana" w:hAnsi="Verdana"/>
          <w:b/>
        </w:rPr>
        <w:lastRenderedPageBreak/>
        <w:t xml:space="preserve">Table 1 - </w:t>
      </w:r>
      <w:r w:rsidR="0023103E" w:rsidRPr="00B44C44">
        <w:rPr>
          <w:rFonts w:ascii="Verdana" w:hAnsi="Verdana"/>
          <w:b/>
        </w:rPr>
        <w:t xml:space="preserve">Westminster National Funding Formula </w:t>
      </w:r>
      <w:r w:rsidR="00CA6860" w:rsidRPr="00B44C44">
        <w:rPr>
          <w:rFonts w:ascii="Verdana" w:hAnsi="Verdana"/>
          <w:b/>
        </w:rPr>
        <w:t>Indicative</w:t>
      </w:r>
      <w:r w:rsidR="0023103E" w:rsidRPr="00B44C44">
        <w:rPr>
          <w:rFonts w:ascii="Verdana" w:hAnsi="Verdana"/>
          <w:b/>
        </w:rPr>
        <w:t xml:space="preserve"> figures</w:t>
      </w:r>
    </w:p>
    <w:p w:rsidR="0030119C" w:rsidRDefault="0030119C" w:rsidP="0030119C">
      <w:pPr>
        <w:pStyle w:val="Default"/>
        <w:ind w:left="720" w:hanging="720"/>
        <w:jc w:val="both"/>
        <w:rPr>
          <w:rFonts w:ascii="Verdana" w:hAnsi="Verdana"/>
        </w:rPr>
      </w:pPr>
    </w:p>
    <w:tbl>
      <w:tblPr>
        <w:tblW w:w="5000" w:type="pct"/>
        <w:tblLook w:val="04A0" w:firstRow="1" w:lastRow="0" w:firstColumn="1" w:lastColumn="0" w:noHBand="0" w:noVBand="1"/>
      </w:tblPr>
      <w:tblGrid>
        <w:gridCol w:w="4606"/>
        <w:gridCol w:w="1916"/>
        <w:gridCol w:w="1944"/>
        <w:gridCol w:w="1889"/>
        <w:gridCol w:w="1802"/>
        <w:gridCol w:w="1791"/>
      </w:tblGrid>
      <w:tr w:rsidR="00C53373" w:rsidRPr="00416053" w:rsidTr="00EA6062">
        <w:trPr>
          <w:trHeight w:val="900"/>
        </w:trPr>
        <w:tc>
          <w:tcPr>
            <w:tcW w:w="1651" w:type="pc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C53373" w:rsidRPr="0041605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Row Labels</w:t>
            </w:r>
          </w:p>
        </w:tc>
        <w:tc>
          <w:tcPr>
            <w:tcW w:w="687" w:type="pct"/>
            <w:tcBorders>
              <w:top w:val="single" w:sz="4" w:space="0" w:color="auto"/>
              <w:left w:val="nil"/>
              <w:bottom w:val="single" w:sz="4" w:space="0" w:color="auto"/>
              <w:right w:val="nil"/>
            </w:tcBorders>
            <w:shd w:val="clear" w:color="auto" w:fill="D9D9D9" w:themeFill="background1" w:themeFillShade="D9"/>
            <w:vAlign w:val="bottom"/>
            <w:hideMark/>
          </w:tcPr>
          <w:p w:rsidR="00C53373" w:rsidRPr="0041605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Sum of Funding the school received in 2016-17 or 2016/17</w:t>
            </w:r>
          </w:p>
        </w:tc>
        <w:tc>
          <w:tcPr>
            <w:tcW w:w="697" w:type="pct"/>
            <w:tcBorders>
              <w:top w:val="single" w:sz="4" w:space="0" w:color="auto"/>
              <w:left w:val="nil"/>
              <w:bottom w:val="single" w:sz="4" w:space="0" w:color="auto"/>
              <w:right w:val="nil"/>
            </w:tcBorders>
            <w:shd w:val="clear" w:color="auto" w:fill="D9D9D9" w:themeFill="background1" w:themeFillShade="D9"/>
            <w:vAlign w:val="bottom"/>
            <w:hideMark/>
          </w:tcPr>
          <w:p w:rsidR="00C53373" w:rsidRPr="0041605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Sum of Illustrative total NFF funding</w:t>
            </w:r>
          </w:p>
        </w:tc>
        <w:tc>
          <w:tcPr>
            <w:tcW w:w="677" w:type="pct"/>
            <w:tcBorders>
              <w:top w:val="single" w:sz="4" w:space="0" w:color="auto"/>
              <w:left w:val="nil"/>
              <w:bottom w:val="single" w:sz="4" w:space="0" w:color="auto"/>
              <w:right w:val="nil"/>
            </w:tcBorders>
            <w:shd w:val="clear" w:color="auto" w:fill="D9D9D9" w:themeFill="background1" w:themeFillShade="D9"/>
            <w:vAlign w:val="bottom"/>
            <w:hideMark/>
          </w:tcPr>
          <w:p w:rsidR="00C53373" w:rsidRPr="0041605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Sum of Illustrative NFF year 1 funding</w:t>
            </w:r>
          </w:p>
        </w:tc>
        <w:tc>
          <w:tcPr>
            <w:tcW w:w="646" w:type="pct"/>
            <w:tcBorders>
              <w:top w:val="single" w:sz="4" w:space="0" w:color="auto"/>
              <w:left w:val="nil"/>
              <w:bottom w:val="single" w:sz="4" w:space="0" w:color="auto"/>
              <w:right w:val="nil"/>
            </w:tcBorders>
            <w:shd w:val="clear" w:color="auto" w:fill="D9D9D9" w:themeFill="background1" w:themeFillShade="D9"/>
            <w:vAlign w:val="bottom"/>
            <w:hideMark/>
          </w:tcPr>
          <w:p w:rsidR="00C53373" w:rsidRPr="00416053" w:rsidRDefault="006010EC"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 xml:space="preserve">Sum of Gain/Loss in funding year </w:t>
            </w:r>
            <w:r w:rsidR="00C53373" w:rsidRPr="00416053">
              <w:rPr>
                <w:rFonts w:asciiTheme="majorHAnsi" w:eastAsia="Times New Roman" w:hAnsiTheme="majorHAnsi" w:cstheme="majorHAnsi"/>
                <w:b/>
                <w:bCs/>
                <w:color w:val="000000"/>
                <w:sz w:val="20"/>
                <w:szCs w:val="20"/>
                <w:lang w:val="en-US"/>
              </w:rPr>
              <w:t xml:space="preserve"> 1 </w:t>
            </w:r>
            <w:r w:rsidRPr="00416053">
              <w:rPr>
                <w:rFonts w:asciiTheme="majorHAnsi" w:eastAsia="Times New Roman" w:hAnsiTheme="majorHAnsi" w:cstheme="majorHAnsi"/>
                <w:b/>
                <w:bCs/>
                <w:color w:val="000000"/>
                <w:sz w:val="20"/>
                <w:szCs w:val="20"/>
                <w:lang w:val="en-US"/>
              </w:rPr>
              <w:t>t</w:t>
            </w:r>
            <w:r w:rsidR="00774945" w:rsidRPr="00416053">
              <w:rPr>
                <w:rFonts w:asciiTheme="majorHAnsi" w:eastAsia="Times New Roman" w:hAnsiTheme="majorHAnsi" w:cstheme="majorHAnsi"/>
                <w:b/>
                <w:bCs/>
                <w:color w:val="000000"/>
                <w:sz w:val="20"/>
                <w:szCs w:val="20"/>
                <w:lang w:val="en-US"/>
              </w:rPr>
              <w:t>ransition</w:t>
            </w:r>
          </w:p>
        </w:tc>
        <w:tc>
          <w:tcPr>
            <w:tcW w:w="64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C53373" w:rsidRPr="0041605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 xml:space="preserve">Sum of Gain/Loss in funding no </w:t>
            </w:r>
            <w:r w:rsidR="00774945" w:rsidRPr="00416053">
              <w:rPr>
                <w:rFonts w:asciiTheme="majorHAnsi" w:eastAsia="Times New Roman" w:hAnsiTheme="majorHAnsi" w:cstheme="majorHAnsi"/>
                <w:b/>
                <w:bCs/>
                <w:color w:val="000000"/>
                <w:sz w:val="20"/>
                <w:szCs w:val="20"/>
                <w:lang w:val="en-US"/>
              </w:rPr>
              <w:t>transition</w:t>
            </w:r>
          </w:p>
        </w:tc>
      </w:tr>
      <w:tr w:rsidR="00C53373" w:rsidRPr="00416053" w:rsidTr="00EA6062">
        <w:trPr>
          <w:trHeight w:val="300"/>
        </w:trPr>
        <w:tc>
          <w:tcPr>
            <w:tcW w:w="1651" w:type="pct"/>
            <w:tcBorders>
              <w:top w:val="single" w:sz="4" w:space="0" w:color="auto"/>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All Souls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single" w:sz="4" w:space="0" w:color="auto"/>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1,007,000 </w:t>
            </w:r>
          </w:p>
        </w:tc>
        <w:tc>
          <w:tcPr>
            <w:tcW w:w="697" w:type="pct"/>
            <w:tcBorders>
              <w:top w:val="single" w:sz="4" w:space="0" w:color="auto"/>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980,000 </w:t>
            </w:r>
          </w:p>
        </w:tc>
        <w:tc>
          <w:tcPr>
            <w:tcW w:w="677" w:type="pct"/>
            <w:tcBorders>
              <w:top w:val="single" w:sz="4" w:space="0" w:color="auto"/>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994,000 </w:t>
            </w:r>
          </w:p>
        </w:tc>
        <w:tc>
          <w:tcPr>
            <w:tcW w:w="646" w:type="pct"/>
            <w:tcBorders>
              <w:top w:val="single" w:sz="4" w:space="0" w:color="auto"/>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13,000 </w:t>
            </w:r>
          </w:p>
        </w:tc>
        <w:tc>
          <w:tcPr>
            <w:tcW w:w="643" w:type="pct"/>
            <w:tcBorders>
              <w:top w:val="single" w:sz="4" w:space="0" w:color="auto"/>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27,000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Ark King Solomon Academy</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4,137,000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4,197,000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4,197,000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60,000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60,000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Barrow Hill Junior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1,137,000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1,126,000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1,126,000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11,000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11,000 </w:t>
            </w:r>
          </w:p>
        </w:tc>
      </w:tr>
      <w:tr w:rsidR="00C53373" w:rsidRPr="00416053" w:rsidTr="00AA7B8F">
        <w:trPr>
          <w:trHeight w:val="615"/>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Burdett-Coutts and Townshend Foundation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1,436,000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1,463,000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1,463,000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27,000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27,000 </w:t>
            </w:r>
          </w:p>
        </w:tc>
      </w:tr>
      <w:tr w:rsidR="00C53373" w:rsidRPr="00416053" w:rsidTr="00AA7B8F">
        <w:trPr>
          <w:trHeight w:val="525"/>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Christ Church Bentinck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1,266,000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1,292,000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1,292,000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26,000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26,000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Churchill Gardens Primary Academy</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1,339,000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1,381,000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1,371,000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32,000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42,000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Edward Wilson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1,956,000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2,098,000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2,010,000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54,000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142,000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proofErr w:type="spellStart"/>
            <w:r w:rsidRPr="00416053">
              <w:rPr>
                <w:rFonts w:asciiTheme="majorHAnsi" w:eastAsia="Times New Roman" w:hAnsiTheme="majorHAnsi" w:cstheme="majorHAnsi"/>
                <w:color w:val="000000"/>
                <w:sz w:val="20"/>
                <w:szCs w:val="20"/>
                <w:lang w:val="en-US"/>
              </w:rPr>
              <w:t>Essendine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2,053,000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2,170,000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2,111,000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58,000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117,000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Gateway Academy</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3,106,000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3,358,000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3,196,000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90,000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252,000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George Eliot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2,234,000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2,205,000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2,205,000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29,000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29,000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proofErr w:type="spellStart"/>
            <w:r w:rsidRPr="00416053">
              <w:rPr>
                <w:rFonts w:asciiTheme="majorHAnsi" w:eastAsia="Times New Roman" w:hAnsiTheme="majorHAnsi" w:cstheme="majorHAnsi"/>
                <w:color w:val="000000"/>
                <w:sz w:val="20"/>
                <w:szCs w:val="20"/>
                <w:lang w:val="en-US"/>
              </w:rPr>
              <w:t>Hallfield</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2,483,000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2,558,000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2,552,000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69,000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75,000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Hampden Gurney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946,000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923,000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934,000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12,000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23,000 </w:t>
            </w:r>
          </w:p>
        </w:tc>
      </w:tr>
      <w:tr w:rsidR="00C53373" w:rsidRPr="00416053" w:rsidTr="00AA7B8F">
        <w:trPr>
          <w:trHeight w:val="3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Marylebone Boys'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Millbank Academy</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1,914,000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1,993,000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1,967,000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53,000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79,000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Our Lady of </w:t>
            </w:r>
            <w:proofErr w:type="spellStart"/>
            <w:r w:rsidRPr="00416053">
              <w:rPr>
                <w:rFonts w:asciiTheme="majorHAnsi" w:eastAsia="Times New Roman" w:hAnsiTheme="majorHAnsi" w:cstheme="majorHAnsi"/>
                <w:color w:val="000000"/>
                <w:sz w:val="20"/>
                <w:szCs w:val="20"/>
                <w:lang w:val="en-US"/>
              </w:rPr>
              <w:t>Dolours</w:t>
            </w:r>
            <w:proofErr w:type="spellEnd"/>
            <w:r w:rsidRPr="00416053">
              <w:rPr>
                <w:rFonts w:asciiTheme="majorHAnsi" w:eastAsia="Times New Roman" w:hAnsiTheme="majorHAnsi" w:cstheme="majorHAnsi"/>
                <w:color w:val="000000"/>
                <w:sz w:val="20"/>
                <w:szCs w:val="20"/>
                <w:lang w:val="en-US"/>
              </w:rPr>
              <w:t xml:space="preserve"> RC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1,316,000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1,383,000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1,351,000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35,000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67,000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Paddington Academy</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6,429,000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6,290,000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6,335,000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94,000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139,000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Paddington Green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1,742,000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1,752,000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1,752,000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proofErr w:type="spellStart"/>
            <w:r w:rsidRPr="00416053">
              <w:rPr>
                <w:rFonts w:asciiTheme="majorHAnsi" w:eastAsia="Times New Roman" w:hAnsiTheme="majorHAnsi" w:cstheme="majorHAnsi"/>
                <w:color w:val="000000"/>
                <w:sz w:val="20"/>
                <w:szCs w:val="20"/>
                <w:lang w:val="en-US"/>
              </w:rPr>
              <w:t>Pimlico</w:t>
            </w:r>
            <w:proofErr w:type="spellEnd"/>
            <w:r w:rsidRPr="00416053">
              <w:rPr>
                <w:rFonts w:asciiTheme="majorHAnsi" w:eastAsia="Times New Roman" w:hAnsiTheme="majorHAnsi" w:cstheme="majorHAnsi"/>
                <w:color w:val="000000"/>
                <w:sz w:val="20"/>
                <w:szCs w:val="20"/>
                <w:lang w:val="en-US"/>
              </w:rPr>
              <w:t xml:space="preserve"> Academy</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6,878,000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6,806,000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6,806,000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72,000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72,000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Queen's Park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1,439,000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1,538,000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1,478,000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39,000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99,000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Quintin </w:t>
            </w:r>
            <w:proofErr w:type="spellStart"/>
            <w:r w:rsidRPr="00416053">
              <w:rPr>
                <w:rFonts w:asciiTheme="majorHAnsi" w:eastAsia="Times New Roman" w:hAnsiTheme="majorHAnsi" w:cstheme="majorHAnsi"/>
                <w:color w:val="000000"/>
                <w:sz w:val="20"/>
                <w:szCs w:val="20"/>
                <w:lang w:val="en-US"/>
              </w:rPr>
              <w:t>Kynaston</w:t>
            </w:r>
            <w:proofErr w:type="spellEnd"/>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7,185,000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7,239,000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7,239,000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54,000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54,000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proofErr w:type="spellStart"/>
            <w:r w:rsidRPr="00416053">
              <w:rPr>
                <w:rFonts w:asciiTheme="majorHAnsi" w:eastAsia="Times New Roman" w:hAnsiTheme="majorHAnsi" w:cstheme="majorHAnsi"/>
                <w:color w:val="000000"/>
                <w:sz w:val="20"/>
                <w:szCs w:val="20"/>
                <w:lang w:val="en-US"/>
              </w:rPr>
              <w:t>Robinsfield</w:t>
            </w:r>
            <w:proofErr w:type="spellEnd"/>
            <w:r w:rsidRPr="00416053">
              <w:rPr>
                <w:rFonts w:asciiTheme="majorHAnsi" w:eastAsia="Times New Roman" w:hAnsiTheme="majorHAnsi" w:cstheme="majorHAnsi"/>
                <w:color w:val="000000"/>
                <w:sz w:val="20"/>
                <w:szCs w:val="20"/>
                <w:lang w:val="en-US"/>
              </w:rPr>
              <w:t xml:space="preserve"> Infant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864,000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842,000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853,000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11,000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22,000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proofErr w:type="spellStart"/>
            <w:r w:rsidRPr="00416053">
              <w:rPr>
                <w:rFonts w:asciiTheme="majorHAnsi" w:eastAsia="Times New Roman" w:hAnsiTheme="majorHAnsi" w:cstheme="majorHAnsi"/>
                <w:color w:val="000000"/>
                <w:sz w:val="20"/>
                <w:szCs w:val="20"/>
                <w:lang w:val="en-US"/>
              </w:rPr>
              <w:t>Soho</w:t>
            </w:r>
            <w:proofErr w:type="spellEnd"/>
            <w:r w:rsidRPr="00416053">
              <w:rPr>
                <w:rFonts w:asciiTheme="majorHAnsi" w:eastAsia="Times New Roman" w:hAnsiTheme="majorHAnsi" w:cstheme="majorHAnsi"/>
                <w:color w:val="000000"/>
                <w:sz w:val="20"/>
                <w:szCs w:val="20"/>
                <w:lang w:val="en-US"/>
              </w:rPr>
              <w:t xml:space="preserve"> Parish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902,000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879,000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890,000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12,000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23,000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Augustine's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High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5,344,000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5,315,000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5,315,000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29,000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29,000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lastRenderedPageBreak/>
              <w:t xml:space="preserve">St Augustine's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1,120,000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1,177,000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1,149,000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29,000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57,000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Barnabas'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943,000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919,000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931,000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12,000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24,000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Clement Danes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1,097,000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1,068,000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1,082,000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15,000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29,000 </w:t>
            </w:r>
          </w:p>
        </w:tc>
      </w:tr>
      <w:tr w:rsidR="00C53373" w:rsidRPr="00416053" w:rsidTr="00AA7B8F">
        <w:trPr>
          <w:trHeight w:val="300"/>
        </w:trPr>
        <w:tc>
          <w:tcPr>
            <w:tcW w:w="1651" w:type="pct"/>
            <w:tcBorders>
              <w:top w:val="nil"/>
              <w:left w:val="single" w:sz="4" w:space="0" w:color="auto"/>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St Edward's Catholic Primary School</w:t>
            </w:r>
          </w:p>
        </w:tc>
        <w:tc>
          <w:tcPr>
            <w:tcW w:w="687" w:type="pct"/>
            <w:tcBorders>
              <w:top w:val="nil"/>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1,791,000 </w:t>
            </w:r>
          </w:p>
        </w:tc>
        <w:tc>
          <w:tcPr>
            <w:tcW w:w="697" w:type="pct"/>
            <w:tcBorders>
              <w:top w:val="nil"/>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1,857,000 </w:t>
            </w:r>
          </w:p>
        </w:tc>
        <w:tc>
          <w:tcPr>
            <w:tcW w:w="677" w:type="pct"/>
            <w:tcBorders>
              <w:top w:val="nil"/>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1,840,000 </w:t>
            </w:r>
          </w:p>
        </w:tc>
        <w:tc>
          <w:tcPr>
            <w:tcW w:w="646" w:type="pct"/>
            <w:tcBorders>
              <w:top w:val="nil"/>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49,000 </w:t>
            </w:r>
          </w:p>
        </w:tc>
        <w:tc>
          <w:tcPr>
            <w:tcW w:w="643" w:type="pct"/>
            <w:tcBorders>
              <w:top w:val="nil"/>
              <w:left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66,000 </w:t>
            </w:r>
          </w:p>
        </w:tc>
      </w:tr>
      <w:tr w:rsidR="00C53373" w:rsidRPr="00416053" w:rsidTr="00AA7B8F">
        <w:trPr>
          <w:trHeight w:val="300"/>
        </w:trPr>
        <w:tc>
          <w:tcPr>
            <w:tcW w:w="1651" w:type="pct"/>
            <w:tcBorders>
              <w:left w:val="single" w:sz="4" w:space="0" w:color="auto"/>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Gabriel's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1,032,000 </w:t>
            </w:r>
          </w:p>
        </w:tc>
        <w:tc>
          <w:tcPr>
            <w:tcW w:w="697" w:type="pct"/>
            <w:tcBorders>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1,064,000 </w:t>
            </w:r>
          </w:p>
        </w:tc>
        <w:tc>
          <w:tcPr>
            <w:tcW w:w="677" w:type="pct"/>
            <w:tcBorders>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1,059,000 </w:t>
            </w:r>
          </w:p>
        </w:tc>
        <w:tc>
          <w:tcPr>
            <w:tcW w:w="646" w:type="pct"/>
            <w:tcBorders>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27,000 </w:t>
            </w:r>
          </w:p>
        </w:tc>
        <w:tc>
          <w:tcPr>
            <w:tcW w:w="643" w:type="pct"/>
            <w:tcBorders>
              <w:left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32,000 </w:t>
            </w:r>
          </w:p>
        </w:tc>
      </w:tr>
      <w:tr w:rsidR="00C53373" w:rsidRPr="00416053" w:rsidTr="00AA7B8F">
        <w:trPr>
          <w:trHeight w:val="300"/>
        </w:trPr>
        <w:tc>
          <w:tcPr>
            <w:tcW w:w="1651" w:type="pct"/>
            <w:tcBorders>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St George's Catholic School</w:t>
            </w:r>
          </w:p>
        </w:tc>
        <w:tc>
          <w:tcPr>
            <w:tcW w:w="687" w:type="pct"/>
            <w:tcBorders>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5,339,000 </w:t>
            </w:r>
          </w:p>
        </w:tc>
        <w:tc>
          <w:tcPr>
            <w:tcW w:w="697" w:type="pct"/>
            <w:tcBorders>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5,183,000 </w:t>
            </w:r>
          </w:p>
        </w:tc>
        <w:tc>
          <w:tcPr>
            <w:tcW w:w="677" w:type="pct"/>
            <w:tcBorders>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5,261,000 </w:t>
            </w:r>
          </w:p>
        </w:tc>
        <w:tc>
          <w:tcPr>
            <w:tcW w:w="646" w:type="pct"/>
            <w:tcBorders>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78,000 </w:t>
            </w:r>
          </w:p>
        </w:tc>
        <w:tc>
          <w:tcPr>
            <w:tcW w:w="643" w:type="pct"/>
            <w:tcBorders>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156,000 </w:t>
            </w:r>
          </w:p>
        </w:tc>
      </w:tr>
      <w:tr w:rsidR="00C53373" w:rsidRPr="00416053" w:rsidTr="00AA7B8F">
        <w:trPr>
          <w:trHeight w:val="450"/>
        </w:trPr>
        <w:tc>
          <w:tcPr>
            <w:tcW w:w="1651" w:type="pct"/>
            <w:tcBorders>
              <w:top w:val="nil"/>
              <w:left w:val="single" w:sz="4" w:space="0" w:color="auto"/>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George's Hanover Square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986,000 </w:t>
            </w:r>
          </w:p>
        </w:tc>
        <w:tc>
          <w:tcPr>
            <w:tcW w:w="697" w:type="pct"/>
            <w:tcBorders>
              <w:top w:val="nil"/>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966,000 </w:t>
            </w:r>
          </w:p>
        </w:tc>
        <w:tc>
          <w:tcPr>
            <w:tcW w:w="677" w:type="pct"/>
            <w:tcBorders>
              <w:top w:val="nil"/>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973,000 </w:t>
            </w:r>
          </w:p>
        </w:tc>
        <w:tc>
          <w:tcPr>
            <w:tcW w:w="646" w:type="pct"/>
            <w:tcBorders>
              <w:top w:val="nil"/>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13,000 </w:t>
            </w:r>
          </w:p>
        </w:tc>
        <w:tc>
          <w:tcPr>
            <w:tcW w:w="643" w:type="pct"/>
            <w:tcBorders>
              <w:top w:val="nil"/>
              <w:left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20,000 </w:t>
            </w:r>
          </w:p>
        </w:tc>
      </w:tr>
      <w:tr w:rsidR="00C53373" w:rsidRPr="00416053" w:rsidTr="00AA7B8F">
        <w:trPr>
          <w:trHeight w:val="450"/>
        </w:trPr>
        <w:tc>
          <w:tcPr>
            <w:tcW w:w="1651" w:type="pct"/>
            <w:tcBorders>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St James &amp; St John Church of England Primary School</w:t>
            </w:r>
          </w:p>
        </w:tc>
        <w:tc>
          <w:tcPr>
            <w:tcW w:w="687" w:type="pct"/>
            <w:tcBorders>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964,000 </w:t>
            </w:r>
          </w:p>
        </w:tc>
        <w:tc>
          <w:tcPr>
            <w:tcW w:w="697" w:type="pct"/>
            <w:tcBorders>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940,000 </w:t>
            </w:r>
          </w:p>
        </w:tc>
        <w:tc>
          <w:tcPr>
            <w:tcW w:w="677" w:type="pct"/>
            <w:tcBorders>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952,000 </w:t>
            </w:r>
          </w:p>
        </w:tc>
        <w:tc>
          <w:tcPr>
            <w:tcW w:w="646" w:type="pct"/>
            <w:tcBorders>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12,000 </w:t>
            </w:r>
          </w:p>
        </w:tc>
        <w:tc>
          <w:tcPr>
            <w:tcW w:w="643" w:type="pct"/>
            <w:tcBorders>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24,000 </w:t>
            </w:r>
          </w:p>
        </w:tc>
      </w:tr>
      <w:tr w:rsidR="00C53373" w:rsidRPr="00416053" w:rsidTr="00AA7B8F">
        <w:trPr>
          <w:trHeight w:val="300"/>
        </w:trPr>
        <w:tc>
          <w:tcPr>
            <w:tcW w:w="1651" w:type="pct"/>
            <w:tcBorders>
              <w:top w:val="nil"/>
              <w:left w:val="single" w:sz="4" w:space="0" w:color="auto"/>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St Joseph's RC Primary School</w:t>
            </w:r>
          </w:p>
        </w:tc>
        <w:tc>
          <w:tcPr>
            <w:tcW w:w="687" w:type="pct"/>
            <w:tcBorders>
              <w:top w:val="nil"/>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1,180,000 </w:t>
            </w:r>
          </w:p>
        </w:tc>
        <w:tc>
          <w:tcPr>
            <w:tcW w:w="697" w:type="pct"/>
            <w:tcBorders>
              <w:top w:val="nil"/>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1,154,000 </w:t>
            </w:r>
          </w:p>
        </w:tc>
        <w:tc>
          <w:tcPr>
            <w:tcW w:w="677" w:type="pct"/>
            <w:tcBorders>
              <w:top w:val="nil"/>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1,165,000 </w:t>
            </w:r>
          </w:p>
        </w:tc>
        <w:tc>
          <w:tcPr>
            <w:tcW w:w="646" w:type="pct"/>
            <w:tcBorders>
              <w:top w:val="nil"/>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15,000 </w:t>
            </w:r>
          </w:p>
        </w:tc>
        <w:tc>
          <w:tcPr>
            <w:tcW w:w="643" w:type="pct"/>
            <w:tcBorders>
              <w:top w:val="nil"/>
              <w:left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26,000 </w:t>
            </w:r>
          </w:p>
        </w:tc>
      </w:tr>
      <w:tr w:rsidR="00C53373" w:rsidRPr="00416053" w:rsidTr="00AA7B8F">
        <w:trPr>
          <w:trHeight w:val="300"/>
        </w:trPr>
        <w:tc>
          <w:tcPr>
            <w:tcW w:w="1651" w:type="pct"/>
            <w:tcBorders>
              <w:top w:val="nil"/>
              <w:left w:val="single" w:sz="4" w:space="0" w:color="auto"/>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Luke's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1,069,000 </w:t>
            </w:r>
          </w:p>
        </w:tc>
        <w:tc>
          <w:tcPr>
            <w:tcW w:w="697" w:type="pct"/>
            <w:tcBorders>
              <w:top w:val="nil"/>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1,041,000 </w:t>
            </w:r>
          </w:p>
        </w:tc>
        <w:tc>
          <w:tcPr>
            <w:tcW w:w="677" w:type="pct"/>
            <w:tcBorders>
              <w:top w:val="nil"/>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1,055,000 </w:t>
            </w:r>
          </w:p>
        </w:tc>
        <w:tc>
          <w:tcPr>
            <w:tcW w:w="646" w:type="pct"/>
            <w:tcBorders>
              <w:top w:val="nil"/>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14,000 </w:t>
            </w:r>
          </w:p>
        </w:tc>
        <w:tc>
          <w:tcPr>
            <w:tcW w:w="643" w:type="pct"/>
            <w:tcBorders>
              <w:top w:val="nil"/>
              <w:left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28,000 </w:t>
            </w:r>
          </w:p>
        </w:tc>
      </w:tr>
      <w:tr w:rsidR="00C53373" w:rsidRPr="00416053" w:rsidTr="00AA7B8F">
        <w:trPr>
          <w:trHeight w:val="300"/>
        </w:trPr>
        <w:tc>
          <w:tcPr>
            <w:tcW w:w="1651" w:type="pct"/>
            <w:tcBorders>
              <w:left w:val="single" w:sz="4" w:space="0" w:color="auto"/>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Mary Magdalene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1,088,000 </w:t>
            </w:r>
          </w:p>
        </w:tc>
        <w:tc>
          <w:tcPr>
            <w:tcW w:w="697" w:type="pct"/>
            <w:tcBorders>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1,135,000 </w:t>
            </w:r>
          </w:p>
        </w:tc>
        <w:tc>
          <w:tcPr>
            <w:tcW w:w="677" w:type="pct"/>
            <w:tcBorders>
              <w:left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1,116,000 </w:t>
            </w:r>
          </w:p>
        </w:tc>
        <w:tc>
          <w:tcPr>
            <w:tcW w:w="646" w:type="pct"/>
            <w:tcBorders>
              <w:left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28,000 </w:t>
            </w:r>
          </w:p>
        </w:tc>
        <w:tc>
          <w:tcPr>
            <w:tcW w:w="643" w:type="pct"/>
            <w:tcBorders>
              <w:left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47,000 </w:t>
            </w:r>
          </w:p>
        </w:tc>
      </w:tr>
      <w:tr w:rsidR="00C53373" w:rsidRPr="00416053" w:rsidTr="00AA7B8F">
        <w:trPr>
          <w:trHeight w:val="300"/>
        </w:trPr>
        <w:tc>
          <w:tcPr>
            <w:tcW w:w="1651" w:type="pct"/>
            <w:tcBorders>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St Mary of the Angels RC Primary School</w:t>
            </w:r>
          </w:p>
        </w:tc>
        <w:tc>
          <w:tcPr>
            <w:tcW w:w="687" w:type="pct"/>
            <w:tcBorders>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1,319,000 </w:t>
            </w:r>
          </w:p>
        </w:tc>
        <w:tc>
          <w:tcPr>
            <w:tcW w:w="697" w:type="pct"/>
            <w:tcBorders>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1,349,000 </w:t>
            </w:r>
          </w:p>
        </w:tc>
        <w:tc>
          <w:tcPr>
            <w:tcW w:w="677" w:type="pct"/>
            <w:tcBorders>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1,349,000 </w:t>
            </w:r>
          </w:p>
        </w:tc>
        <w:tc>
          <w:tcPr>
            <w:tcW w:w="646" w:type="pct"/>
            <w:tcBorders>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30,000 </w:t>
            </w:r>
          </w:p>
        </w:tc>
        <w:tc>
          <w:tcPr>
            <w:tcW w:w="643" w:type="pct"/>
            <w:tcBorders>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30,000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Mary's </w:t>
            </w:r>
            <w:proofErr w:type="spellStart"/>
            <w:r w:rsidRPr="00416053">
              <w:rPr>
                <w:rFonts w:asciiTheme="majorHAnsi" w:eastAsia="Times New Roman" w:hAnsiTheme="majorHAnsi" w:cstheme="majorHAnsi"/>
                <w:color w:val="000000"/>
                <w:sz w:val="20"/>
                <w:szCs w:val="20"/>
                <w:lang w:val="en-US"/>
              </w:rPr>
              <w:t>Bryanston</w:t>
            </w:r>
            <w:proofErr w:type="spellEnd"/>
            <w:r w:rsidRPr="00416053">
              <w:rPr>
                <w:rFonts w:asciiTheme="majorHAnsi" w:eastAsia="Times New Roman" w:hAnsiTheme="majorHAnsi" w:cstheme="majorHAnsi"/>
                <w:color w:val="000000"/>
                <w:sz w:val="20"/>
                <w:szCs w:val="20"/>
                <w:lang w:val="en-US"/>
              </w:rPr>
              <w:t xml:space="preserve"> Square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1,007,000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981,000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994,000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13,000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26,000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St Matthew's School, Westminster</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1,035,000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1,008,000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1,021,000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14,000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27,000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Peter's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1,056,000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1,100,000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1,083,000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27,000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44,000 </w:t>
            </w:r>
          </w:p>
        </w:tc>
      </w:tr>
      <w:tr w:rsidR="00C53373" w:rsidRPr="00416053" w:rsidTr="00AA7B8F">
        <w:trPr>
          <w:trHeight w:val="495"/>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Peter's Eaton Square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1,291,000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1,288,000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1,288,000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3,000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3,000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w:t>
            </w:r>
            <w:proofErr w:type="spellStart"/>
            <w:r w:rsidRPr="00416053">
              <w:rPr>
                <w:rFonts w:asciiTheme="majorHAnsi" w:eastAsia="Times New Roman" w:hAnsiTheme="majorHAnsi" w:cstheme="majorHAnsi"/>
                <w:color w:val="000000"/>
                <w:sz w:val="20"/>
                <w:szCs w:val="20"/>
                <w:lang w:val="en-US"/>
              </w:rPr>
              <w:t>Saviour's</w:t>
            </w:r>
            <w:proofErr w:type="spellEnd"/>
            <w:r w:rsidRPr="00416053">
              <w:rPr>
                <w:rFonts w:asciiTheme="majorHAnsi" w:eastAsia="Times New Roman" w:hAnsiTheme="majorHAnsi" w:cstheme="majorHAnsi"/>
                <w:color w:val="000000"/>
                <w:sz w:val="20"/>
                <w:szCs w:val="20"/>
                <w:lang w:val="en-US"/>
              </w:rPr>
              <w:t xml:space="preserve">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965,000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968,000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968,000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St Stephen's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999,000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1,010,000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1,010,000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11,000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St Vincent de Paul RC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973,000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951,000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961,000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12,000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22,000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St Vincent's RC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942,000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918,000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930,000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12,000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24,000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The Grey Coat Hospital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4,555,000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4,535,000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4,535,000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20,000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20,000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The St Marylebone </w:t>
            </w:r>
            <w:proofErr w:type="spellStart"/>
            <w:r w:rsidRPr="00416053">
              <w:rPr>
                <w:rFonts w:asciiTheme="majorHAnsi" w:eastAsia="Times New Roman" w:hAnsiTheme="majorHAnsi" w:cstheme="majorHAnsi"/>
                <w:color w:val="000000"/>
                <w:sz w:val="20"/>
                <w:szCs w:val="20"/>
                <w:lang w:val="en-US"/>
              </w:rPr>
              <w:t>CofE</w:t>
            </w:r>
            <w:proofErr w:type="spellEnd"/>
            <w:r w:rsidRPr="00416053">
              <w:rPr>
                <w:rFonts w:asciiTheme="majorHAnsi" w:eastAsia="Times New Roman" w:hAnsiTheme="majorHAnsi" w:cstheme="majorHAnsi"/>
                <w:color w:val="000000"/>
                <w:sz w:val="20"/>
                <w:szCs w:val="20"/>
                <w:lang w:val="en-US"/>
              </w:rPr>
              <w:t xml:space="preserve">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4,965,000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4,823,000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4,894,000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71,000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142,000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Westminster Academy</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7,190,000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6,978,000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7,084,000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106,000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212,000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Westminster Cathedral RC Primary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1,003,000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989,000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989,000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14,000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14,000 </w:t>
            </w:r>
          </w:p>
        </w:tc>
      </w:tr>
      <w:tr w:rsidR="00C53373" w:rsidRPr="00416053" w:rsidTr="00AA7B8F">
        <w:trPr>
          <w:trHeight w:val="300"/>
        </w:trPr>
        <w:tc>
          <w:tcPr>
            <w:tcW w:w="1651" w:type="pct"/>
            <w:tcBorders>
              <w:top w:val="nil"/>
              <w:left w:val="single" w:sz="4" w:space="0" w:color="auto"/>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Westminster City School</w:t>
            </w:r>
          </w:p>
        </w:tc>
        <w:tc>
          <w:tcPr>
            <w:tcW w:w="68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4,239,000 </w:t>
            </w:r>
          </w:p>
        </w:tc>
        <w:tc>
          <w:tcPr>
            <w:tcW w:w="697"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4,196,000 </w:t>
            </w:r>
          </w:p>
        </w:tc>
        <w:tc>
          <w:tcPr>
            <w:tcW w:w="677" w:type="pct"/>
            <w:tcBorders>
              <w:top w:val="nil"/>
              <w:left w:val="nil"/>
              <w:bottom w:val="nil"/>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4,196,000 </w:t>
            </w:r>
          </w:p>
        </w:tc>
        <w:tc>
          <w:tcPr>
            <w:tcW w:w="646" w:type="pct"/>
            <w:tcBorders>
              <w:top w:val="nil"/>
              <w:left w:val="nil"/>
              <w:bottom w:val="nil"/>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43,000 </w:t>
            </w:r>
          </w:p>
        </w:tc>
        <w:tc>
          <w:tcPr>
            <w:tcW w:w="643" w:type="pct"/>
            <w:tcBorders>
              <w:top w:val="nil"/>
              <w:left w:val="nil"/>
              <w:bottom w:val="nil"/>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FF0000"/>
                <w:sz w:val="20"/>
                <w:szCs w:val="20"/>
                <w:lang w:val="en-US"/>
              </w:rPr>
            </w:pPr>
            <w:r w:rsidRPr="00416053">
              <w:rPr>
                <w:rFonts w:asciiTheme="majorHAnsi" w:eastAsia="Times New Roman" w:hAnsiTheme="majorHAnsi" w:cstheme="majorHAnsi"/>
                <w:color w:val="FF0000"/>
                <w:sz w:val="20"/>
                <w:szCs w:val="20"/>
                <w:lang w:val="en-US"/>
              </w:rPr>
              <w:t xml:space="preserve">-         43,000 </w:t>
            </w:r>
          </w:p>
        </w:tc>
      </w:tr>
      <w:tr w:rsidR="00C53373" w:rsidRPr="00416053" w:rsidTr="005E790C">
        <w:trPr>
          <w:trHeight w:val="300"/>
        </w:trPr>
        <w:tc>
          <w:tcPr>
            <w:tcW w:w="1651" w:type="pct"/>
            <w:tcBorders>
              <w:top w:val="nil"/>
              <w:left w:val="single" w:sz="4" w:space="0" w:color="auto"/>
              <w:bottom w:val="single" w:sz="4" w:space="0" w:color="auto"/>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Wilberforce Primary</w:t>
            </w:r>
          </w:p>
        </w:tc>
        <w:tc>
          <w:tcPr>
            <w:tcW w:w="687" w:type="pct"/>
            <w:tcBorders>
              <w:top w:val="nil"/>
              <w:left w:val="nil"/>
              <w:bottom w:val="single" w:sz="4" w:space="0" w:color="auto"/>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1,454,000 </w:t>
            </w:r>
          </w:p>
        </w:tc>
        <w:tc>
          <w:tcPr>
            <w:tcW w:w="697" w:type="pct"/>
            <w:tcBorders>
              <w:top w:val="nil"/>
              <w:left w:val="nil"/>
              <w:bottom w:val="single" w:sz="4" w:space="0" w:color="auto"/>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1,512,000 </w:t>
            </w:r>
          </w:p>
        </w:tc>
        <w:tc>
          <w:tcPr>
            <w:tcW w:w="677" w:type="pct"/>
            <w:tcBorders>
              <w:top w:val="nil"/>
              <w:left w:val="nil"/>
              <w:bottom w:val="single" w:sz="4" w:space="0" w:color="auto"/>
              <w:right w:val="nil"/>
            </w:tcBorders>
            <w:shd w:val="clear" w:color="auto" w:fill="auto"/>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1,493,000 </w:t>
            </w:r>
          </w:p>
        </w:tc>
        <w:tc>
          <w:tcPr>
            <w:tcW w:w="646" w:type="pct"/>
            <w:tcBorders>
              <w:top w:val="nil"/>
              <w:left w:val="nil"/>
              <w:bottom w:val="single" w:sz="4" w:space="0" w:color="auto"/>
              <w:right w:val="nil"/>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39,000 </w:t>
            </w:r>
          </w:p>
        </w:tc>
        <w:tc>
          <w:tcPr>
            <w:tcW w:w="643" w:type="pct"/>
            <w:tcBorders>
              <w:top w:val="nil"/>
              <w:left w:val="nil"/>
              <w:bottom w:val="single" w:sz="4" w:space="0" w:color="auto"/>
              <w:right w:val="single" w:sz="4" w:space="0" w:color="auto"/>
            </w:tcBorders>
            <w:shd w:val="clear" w:color="auto" w:fill="auto"/>
            <w:noWrap/>
            <w:vAlign w:val="bottom"/>
            <w:hideMark/>
          </w:tcPr>
          <w:p w:rsidR="00C53373" w:rsidRPr="00416053" w:rsidRDefault="00C53373" w:rsidP="00416053">
            <w:pPr>
              <w:spacing w:after="0" w:line="240" w:lineRule="auto"/>
              <w:rPr>
                <w:rFonts w:asciiTheme="majorHAnsi" w:eastAsia="Times New Roman" w:hAnsiTheme="majorHAnsi" w:cstheme="majorHAnsi"/>
                <w:color w:val="000000"/>
                <w:sz w:val="20"/>
                <w:szCs w:val="20"/>
                <w:lang w:val="en-US"/>
              </w:rPr>
            </w:pPr>
            <w:r w:rsidRPr="00416053">
              <w:rPr>
                <w:rFonts w:asciiTheme="majorHAnsi" w:eastAsia="Times New Roman" w:hAnsiTheme="majorHAnsi" w:cstheme="majorHAnsi"/>
                <w:color w:val="000000"/>
                <w:sz w:val="20"/>
                <w:szCs w:val="20"/>
                <w:lang w:val="en-US"/>
              </w:rPr>
              <w:t xml:space="preserve">           58,000 </w:t>
            </w:r>
          </w:p>
        </w:tc>
      </w:tr>
      <w:tr w:rsidR="00C53373" w:rsidRPr="00416053" w:rsidTr="00EA6062">
        <w:trPr>
          <w:trHeight w:val="480"/>
        </w:trPr>
        <w:tc>
          <w:tcPr>
            <w:tcW w:w="1651" w:type="pc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C5337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Grand Total</w:t>
            </w:r>
          </w:p>
          <w:p w:rsidR="007C0DCF" w:rsidRPr="00416053" w:rsidRDefault="007C0DCF" w:rsidP="00416053">
            <w:pPr>
              <w:spacing w:after="0" w:line="240" w:lineRule="auto"/>
              <w:rPr>
                <w:rFonts w:asciiTheme="majorHAnsi" w:eastAsia="Times New Roman" w:hAnsiTheme="majorHAnsi" w:cstheme="majorHAnsi"/>
                <w:b/>
                <w:bCs/>
                <w:color w:val="000000"/>
                <w:sz w:val="20"/>
                <w:szCs w:val="20"/>
                <w:lang w:val="en-US"/>
              </w:rPr>
            </w:pPr>
          </w:p>
        </w:tc>
        <w:tc>
          <w:tcPr>
            <w:tcW w:w="687" w:type="pct"/>
            <w:tcBorders>
              <w:top w:val="single" w:sz="4" w:space="0" w:color="auto"/>
              <w:left w:val="nil"/>
              <w:bottom w:val="single" w:sz="4" w:space="0" w:color="auto"/>
              <w:right w:val="nil"/>
            </w:tcBorders>
            <w:shd w:val="clear" w:color="auto" w:fill="D9D9D9" w:themeFill="background1" w:themeFillShade="D9"/>
            <w:vAlign w:val="bottom"/>
            <w:hideMark/>
          </w:tcPr>
          <w:p w:rsidR="007C0DCF"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 xml:space="preserve">       106,715,000</w:t>
            </w:r>
          </w:p>
          <w:p w:rsidR="00C53373" w:rsidRPr="0041605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 xml:space="preserve"> </w:t>
            </w:r>
          </w:p>
        </w:tc>
        <w:tc>
          <w:tcPr>
            <w:tcW w:w="697" w:type="pct"/>
            <w:tcBorders>
              <w:top w:val="single" w:sz="4" w:space="0" w:color="auto"/>
              <w:left w:val="nil"/>
              <w:bottom w:val="single" w:sz="4" w:space="0" w:color="auto"/>
              <w:right w:val="nil"/>
            </w:tcBorders>
            <w:shd w:val="clear" w:color="auto" w:fill="D9D9D9" w:themeFill="background1" w:themeFillShade="D9"/>
            <w:noWrap/>
            <w:vAlign w:val="bottom"/>
            <w:hideMark/>
          </w:tcPr>
          <w:p w:rsidR="00C5337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 xml:space="preserve">       106,898,000 </w:t>
            </w:r>
          </w:p>
          <w:p w:rsidR="007C0DCF" w:rsidRPr="00416053" w:rsidRDefault="007C0DCF" w:rsidP="00416053">
            <w:pPr>
              <w:spacing w:after="0" w:line="240" w:lineRule="auto"/>
              <w:rPr>
                <w:rFonts w:asciiTheme="majorHAnsi" w:eastAsia="Times New Roman" w:hAnsiTheme="majorHAnsi" w:cstheme="majorHAnsi"/>
                <w:b/>
                <w:bCs/>
                <w:color w:val="000000"/>
                <w:sz w:val="20"/>
                <w:szCs w:val="20"/>
                <w:lang w:val="en-US"/>
              </w:rPr>
            </w:pPr>
          </w:p>
        </w:tc>
        <w:tc>
          <w:tcPr>
            <w:tcW w:w="677" w:type="pct"/>
            <w:tcBorders>
              <w:top w:val="single" w:sz="4" w:space="0" w:color="auto"/>
              <w:left w:val="nil"/>
              <w:bottom w:val="single" w:sz="4" w:space="0" w:color="auto"/>
              <w:right w:val="nil"/>
            </w:tcBorders>
            <w:shd w:val="clear" w:color="auto" w:fill="D9D9D9" w:themeFill="background1" w:themeFillShade="D9"/>
            <w:vAlign w:val="bottom"/>
            <w:hideMark/>
          </w:tcPr>
          <w:p w:rsidR="00C5337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 xml:space="preserve">      106,815,000 </w:t>
            </w:r>
          </w:p>
          <w:p w:rsidR="007C0DCF" w:rsidRPr="00416053" w:rsidRDefault="007C0DCF" w:rsidP="00416053">
            <w:pPr>
              <w:spacing w:after="0" w:line="240" w:lineRule="auto"/>
              <w:rPr>
                <w:rFonts w:asciiTheme="majorHAnsi" w:eastAsia="Times New Roman" w:hAnsiTheme="majorHAnsi" w:cstheme="majorHAnsi"/>
                <w:b/>
                <w:bCs/>
                <w:color w:val="000000"/>
                <w:sz w:val="20"/>
                <w:szCs w:val="20"/>
                <w:lang w:val="en-US"/>
              </w:rPr>
            </w:pPr>
          </w:p>
        </w:tc>
        <w:tc>
          <w:tcPr>
            <w:tcW w:w="646" w:type="pct"/>
            <w:tcBorders>
              <w:top w:val="single" w:sz="4" w:space="0" w:color="auto"/>
              <w:left w:val="nil"/>
              <w:bottom w:val="single" w:sz="4" w:space="0" w:color="auto"/>
              <w:right w:val="nil"/>
            </w:tcBorders>
            <w:shd w:val="clear" w:color="auto" w:fill="D9D9D9" w:themeFill="background1" w:themeFillShade="D9"/>
            <w:noWrap/>
            <w:vAlign w:val="bottom"/>
            <w:hideMark/>
          </w:tcPr>
          <w:p w:rsidR="00C5337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 xml:space="preserve">         100,000 </w:t>
            </w:r>
          </w:p>
          <w:p w:rsidR="007C0DCF" w:rsidRPr="00416053" w:rsidRDefault="007C0DCF" w:rsidP="00416053">
            <w:pPr>
              <w:spacing w:after="0" w:line="240" w:lineRule="auto"/>
              <w:rPr>
                <w:rFonts w:asciiTheme="majorHAnsi" w:eastAsia="Times New Roman" w:hAnsiTheme="majorHAnsi" w:cstheme="majorHAnsi"/>
                <w:b/>
                <w:bCs/>
                <w:color w:val="000000"/>
                <w:sz w:val="20"/>
                <w:szCs w:val="20"/>
                <w:lang w:val="en-US"/>
              </w:rPr>
            </w:pPr>
          </w:p>
        </w:tc>
        <w:tc>
          <w:tcPr>
            <w:tcW w:w="64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53373" w:rsidRDefault="00C53373" w:rsidP="00416053">
            <w:pPr>
              <w:spacing w:after="0" w:line="240" w:lineRule="auto"/>
              <w:rPr>
                <w:rFonts w:asciiTheme="majorHAnsi" w:eastAsia="Times New Roman" w:hAnsiTheme="majorHAnsi" w:cstheme="majorHAnsi"/>
                <w:b/>
                <w:bCs/>
                <w:color w:val="000000"/>
                <w:sz w:val="20"/>
                <w:szCs w:val="20"/>
                <w:lang w:val="en-US"/>
              </w:rPr>
            </w:pPr>
            <w:r w:rsidRPr="00416053">
              <w:rPr>
                <w:rFonts w:asciiTheme="majorHAnsi" w:eastAsia="Times New Roman" w:hAnsiTheme="majorHAnsi" w:cstheme="majorHAnsi"/>
                <w:b/>
                <w:bCs/>
                <w:color w:val="000000"/>
                <w:sz w:val="20"/>
                <w:szCs w:val="20"/>
                <w:lang w:val="en-US"/>
              </w:rPr>
              <w:t xml:space="preserve">         183,000 </w:t>
            </w:r>
          </w:p>
          <w:p w:rsidR="007C0DCF" w:rsidRPr="00416053" w:rsidRDefault="007C0DCF" w:rsidP="00416053">
            <w:pPr>
              <w:spacing w:after="0" w:line="240" w:lineRule="auto"/>
              <w:rPr>
                <w:rFonts w:asciiTheme="majorHAnsi" w:eastAsia="Times New Roman" w:hAnsiTheme="majorHAnsi" w:cstheme="majorHAnsi"/>
                <w:b/>
                <w:bCs/>
                <w:color w:val="000000"/>
                <w:sz w:val="20"/>
                <w:szCs w:val="20"/>
                <w:lang w:val="en-US"/>
              </w:rPr>
            </w:pPr>
          </w:p>
        </w:tc>
      </w:tr>
    </w:tbl>
    <w:p w:rsidR="00AA7B8F" w:rsidRDefault="00AA7B8F" w:rsidP="000125CE">
      <w:pPr>
        <w:pStyle w:val="Default"/>
        <w:jc w:val="both"/>
        <w:rPr>
          <w:rFonts w:ascii="Verdana" w:hAnsi="Verdana"/>
        </w:rPr>
        <w:sectPr w:rsidR="00AA7B8F" w:rsidSect="00AA7B8F">
          <w:pgSz w:w="16838" w:h="11906" w:orient="landscape"/>
          <w:pgMar w:top="1440" w:right="1440" w:bottom="1440" w:left="1440" w:header="708" w:footer="708" w:gutter="0"/>
          <w:cols w:space="708"/>
          <w:docGrid w:linePitch="360"/>
        </w:sectPr>
      </w:pPr>
    </w:p>
    <w:p w:rsidR="003306CE" w:rsidRPr="00AA7B8F" w:rsidRDefault="006C4D9F" w:rsidP="003824E2">
      <w:pPr>
        <w:spacing w:after="0" w:line="360" w:lineRule="auto"/>
        <w:ind w:left="851" w:hanging="851"/>
        <w:jc w:val="both"/>
        <w:rPr>
          <w:rFonts w:ascii="Verdana" w:hAnsi="Verdana"/>
          <w:b/>
        </w:rPr>
      </w:pPr>
      <w:r>
        <w:rPr>
          <w:rFonts w:ascii="Verdana" w:hAnsi="Verdana"/>
          <w:b/>
        </w:rPr>
        <w:lastRenderedPageBreak/>
        <w:t>4</w:t>
      </w:r>
      <w:r w:rsidR="003824E2">
        <w:rPr>
          <w:rFonts w:ascii="Verdana" w:hAnsi="Verdana"/>
          <w:b/>
        </w:rPr>
        <w:tab/>
      </w:r>
      <w:r w:rsidR="00CA03CC">
        <w:rPr>
          <w:rFonts w:ascii="Verdana" w:hAnsi="Verdana"/>
          <w:b/>
        </w:rPr>
        <w:t>Recommendations</w:t>
      </w:r>
    </w:p>
    <w:p w:rsidR="00CA6860" w:rsidRPr="00AA7B8F" w:rsidRDefault="006C4D9F" w:rsidP="00AA7B8F">
      <w:pPr>
        <w:pStyle w:val="ListParagraph"/>
        <w:spacing w:after="0" w:line="360" w:lineRule="auto"/>
        <w:ind w:left="851" w:hanging="851"/>
        <w:jc w:val="both"/>
        <w:rPr>
          <w:rFonts w:ascii="Verdana" w:hAnsi="Verdana"/>
        </w:rPr>
      </w:pPr>
      <w:r>
        <w:rPr>
          <w:rFonts w:ascii="Verdana" w:hAnsi="Verdana"/>
        </w:rPr>
        <w:t>4</w:t>
      </w:r>
      <w:r w:rsidR="003306CE" w:rsidRPr="003306CE">
        <w:rPr>
          <w:rFonts w:ascii="Verdana" w:hAnsi="Verdana"/>
        </w:rPr>
        <w:t>.1</w:t>
      </w:r>
      <w:r w:rsidR="003306CE" w:rsidRPr="003306CE">
        <w:rPr>
          <w:rFonts w:ascii="Verdana" w:hAnsi="Verdana"/>
        </w:rPr>
        <w:tab/>
        <w:t>To note the report and agree</w:t>
      </w:r>
      <w:r w:rsidR="006010EC">
        <w:rPr>
          <w:rFonts w:ascii="Verdana" w:hAnsi="Verdana"/>
        </w:rPr>
        <w:t xml:space="preserve"> the process to respond to the c</w:t>
      </w:r>
      <w:r w:rsidR="003306CE" w:rsidRPr="003306CE">
        <w:rPr>
          <w:rFonts w:ascii="Verdana" w:hAnsi="Verdana"/>
        </w:rPr>
        <w:t>onsultation</w:t>
      </w:r>
      <w:r w:rsidR="00CA6860">
        <w:rPr>
          <w:rFonts w:ascii="Verdana" w:hAnsi="Verdana"/>
        </w:rPr>
        <w:t>.</w:t>
      </w:r>
    </w:p>
    <w:p w:rsidR="00CA6860" w:rsidRPr="003306CE" w:rsidRDefault="00CA6860" w:rsidP="00AA7B8F">
      <w:pPr>
        <w:pStyle w:val="ListParagraph"/>
        <w:spacing w:after="0" w:line="360" w:lineRule="auto"/>
        <w:ind w:left="851" w:hanging="851"/>
        <w:jc w:val="both"/>
        <w:rPr>
          <w:rFonts w:ascii="Verdana" w:hAnsi="Verdana"/>
        </w:rPr>
      </w:pPr>
      <w:r>
        <w:rPr>
          <w:rFonts w:ascii="Verdana" w:hAnsi="Verdana"/>
        </w:rPr>
        <w:t xml:space="preserve">4.2 </w:t>
      </w:r>
      <w:r w:rsidR="00A17665">
        <w:rPr>
          <w:rFonts w:ascii="Verdana" w:hAnsi="Verdana"/>
        </w:rPr>
        <w:tab/>
      </w:r>
      <w:r>
        <w:rPr>
          <w:rFonts w:ascii="Verdana" w:hAnsi="Verdana"/>
        </w:rPr>
        <w:t>To agree a communication and engagement strategy with all stakeholders.</w:t>
      </w:r>
      <w:r>
        <w:rPr>
          <w:rFonts w:ascii="Verdana" w:hAnsi="Verdana"/>
        </w:rPr>
        <w:tab/>
      </w:r>
    </w:p>
    <w:p w:rsidR="00944C8E" w:rsidRDefault="00944C8E" w:rsidP="00AA7B8F">
      <w:pPr>
        <w:autoSpaceDE w:val="0"/>
        <w:autoSpaceDN w:val="0"/>
        <w:adjustRightInd w:val="0"/>
        <w:spacing w:after="0" w:line="360" w:lineRule="auto"/>
        <w:jc w:val="center"/>
        <w:rPr>
          <w:rFonts w:ascii="Verdana" w:hAnsi="Verdana" w:cs="Verdana"/>
          <w:b/>
          <w:bCs/>
          <w:color w:val="000000"/>
        </w:rPr>
      </w:pPr>
    </w:p>
    <w:p w:rsidR="00944C8E" w:rsidRDefault="00944C8E" w:rsidP="00AA7B8F">
      <w:pPr>
        <w:autoSpaceDE w:val="0"/>
        <w:autoSpaceDN w:val="0"/>
        <w:adjustRightInd w:val="0"/>
        <w:spacing w:after="0" w:line="360" w:lineRule="auto"/>
        <w:jc w:val="center"/>
        <w:rPr>
          <w:rFonts w:ascii="Verdana" w:hAnsi="Verdana" w:cs="Verdana"/>
          <w:b/>
          <w:bCs/>
          <w:color w:val="000000"/>
        </w:rPr>
      </w:pPr>
    </w:p>
    <w:p w:rsidR="003306CE" w:rsidRPr="00D74A13" w:rsidRDefault="003306CE" w:rsidP="00AA7B8F">
      <w:pPr>
        <w:autoSpaceDE w:val="0"/>
        <w:autoSpaceDN w:val="0"/>
        <w:adjustRightInd w:val="0"/>
        <w:spacing w:after="0" w:line="360" w:lineRule="auto"/>
        <w:jc w:val="center"/>
        <w:rPr>
          <w:rFonts w:ascii="Verdana" w:hAnsi="Verdana" w:cs="Verdana"/>
          <w:b/>
          <w:bCs/>
          <w:color w:val="000000"/>
        </w:rPr>
      </w:pPr>
      <w:r w:rsidRPr="00D74A13">
        <w:rPr>
          <w:rFonts w:ascii="Verdana" w:hAnsi="Verdana" w:cs="Verdana"/>
          <w:b/>
          <w:bCs/>
          <w:color w:val="000000"/>
        </w:rPr>
        <w:t>Andrew Tagg</w:t>
      </w:r>
    </w:p>
    <w:p w:rsidR="003306CE" w:rsidRPr="00D74A13" w:rsidRDefault="003306CE" w:rsidP="00AA7B8F">
      <w:pPr>
        <w:autoSpaceDE w:val="0"/>
        <w:autoSpaceDN w:val="0"/>
        <w:adjustRightInd w:val="0"/>
        <w:spacing w:after="0" w:line="360" w:lineRule="auto"/>
        <w:jc w:val="center"/>
        <w:rPr>
          <w:rFonts w:ascii="Verdana" w:hAnsi="Verdana" w:cs="Verdana"/>
          <w:b/>
          <w:bCs/>
          <w:color w:val="000000"/>
        </w:rPr>
      </w:pPr>
      <w:r w:rsidRPr="00D74A13">
        <w:rPr>
          <w:rFonts w:ascii="Verdana" w:hAnsi="Verdana" w:cs="Verdana"/>
          <w:b/>
          <w:bCs/>
          <w:color w:val="000000"/>
        </w:rPr>
        <w:t>Head of Resources</w:t>
      </w:r>
    </w:p>
    <w:p w:rsidR="003306CE" w:rsidRPr="00D74A13" w:rsidRDefault="003306CE" w:rsidP="00AA7B8F">
      <w:pPr>
        <w:autoSpaceDE w:val="0"/>
        <w:autoSpaceDN w:val="0"/>
        <w:adjustRightInd w:val="0"/>
        <w:spacing w:after="0" w:line="360" w:lineRule="auto"/>
        <w:jc w:val="center"/>
        <w:rPr>
          <w:rFonts w:ascii="Verdana" w:hAnsi="Verdana" w:cs="Verdana"/>
          <w:color w:val="000000"/>
        </w:rPr>
      </w:pPr>
    </w:p>
    <w:p w:rsidR="003306CE" w:rsidRPr="00D74A13" w:rsidRDefault="003306CE" w:rsidP="00AA7B8F">
      <w:pPr>
        <w:autoSpaceDE w:val="0"/>
        <w:autoSpaceDN w:val="0"/>
        <w:adjustRightInd w:val="0"/>
        <w:spacing w:after="0" w:line="360" w:lineRule="auto"/>
        <w:jc w:val="center"/>
        <w:rPr>
          <w:rFonts w:ascii="Verdana" w:hAnsi="Verdana" w:cs="Verdana"/>
          <w:color w:val="000000"/>
        </w:rPr>
      </w:pPr>
      <w:r w:rsidRPr="00D74A13">
        <w:rPr>
          <w:rFonts w:ascii="Verdana" w:hAnsi="Verdana" w:cs="Verdana"/>
          <w:b/>
          <w:bCs/>
          <w:color w:val="000000"/>
        </w:rPr>
        <w:t>Clare Chamberla</w:t>
      </w:r>
      <w:r w:rsidR="00347BFA">
        <w:rPr>
          <w:rFonts w:ascii="Verdana" w:hAnsi="Verdana" w:cs="Verdana"/>
          <w:b/>
          <w:bCs/>
          <w:color w:val="000000"/>
        </w:rPr>
        <w:t>i</w:t>
      </w:r>
      <w:r w:rsidRPr="00D74A13">
        <w:rPr>
          <w:rFonts w:ascii="Verdana" w:hAnsi="Verdana" w:cs="Verdana"/>
          <w:b/>
          <w:bCs/>
          <w:color w:val="000000"/>
        </w:rPr>
        <w:t>n</w:t>
      </w:r>
    </w:p>
    <w:p w:rsidR="003306CE" w:rsidRPr="00D74A13" w:rsidRDefault="003306CE" w:rsidP="00AA7B8F">
      <w:pPr>
        <w:autoSpaceDE w:val="0"/>
        <w:autoSpaceDN w:val="0"/>
        <w:adjustRightInd w:val="0"/>
        <w:spacing w:after="0" w:line="360" w:lineRule="auto"/>
        <w:ind w:left="360"/>
        <w:jc w:val="center"/>
        <w:rPr>
          <w:rFonts w:ascii="Verdana" w:hAnsi="Verdana" w:cs="Verdana"/>
          <w:b/>
          <w:bCs/>
          <w:color w:val="000000"/>
        </w:rPr>
      </w:pPr>
      <w:r w:rsidRPr="00D74A13">
        <w:rPr>
          <w:rFonts w:ascii="Verdana" w:hAnsi="Verdana" w:cs="Verdana"/>
          <w:b/>
          <w:bCs/>
          <w:color w:val="000000"/>
        </w:rPr>
        <w:t>Tri-Borough Executive Director – Children’s Services</w:t>
      </w:r>
    </w:p>
    <w:p w:rsidR="003306CE" w:rsidRPr="00D74A13" w:rsidRDefault="003306CE" w:rsidP="00AA7B8F">
      <w:pPr>
        <w:autoSpaceDE w:val="0"/>
        <w:autoSpaceDN w:val="0"/>
        <w:adjustRightInd w:val="0"/>
        <w:spacing w:after="0" w:line="360" w:lineRule="auto"/>
        <w:ind w:left="360"/>
        <w:jc w:val="center"/>
        <w:rPr>
          <w:rFonts w:ascii="Verdana" w:hAnsi="Verdana" w:cs="Verdana"/>
          <w:b/>
          <w:bCs/>
          <w:color w:val="000000"/>
        </w:rPr>
      </w:pPr>
    </w:p>
    <w:p w:rsidR="003306CE" w:rsidRPr="00D74A13" w:rsidRDefault="003306CE" w:rsidP="00AA7B8F">
      <w:pPr>
        <w:autoSpaceDE w:val="0"/>
        <w:autoSpaceDN w:val="0"/>
        <w:adjustRightInd w:val="0"/>
        <w:spacing w:after="0" w:line="360" w:lineRule="auto"/>
        <w:ind w:left="360"/>
        <w:jc w:val="center"/>
        <w:rPr>
          <w:rFonts w:ascii="Verdana" w:hAnsi="Verdana" w:cs="Verdana"/>
          <w:b/>
          <w:bCs/>
          <w:color w:val="000000"/>
        </w:rPr>
      </w:pPr>
    </w:p>
    <w:p w:rsidR="003306CE" w:rsidRPr="00D74A13" w:rsidRDefault="003306CE" w:rsidP="00AA7B8F">
      <w:pPr>
        <w:autoSpaceDE w:val="0"/>
        <w:autoSpaceDN w:val="0"/>
        <w:adjustRightInd w:val="0"/>
        <w:spacing w:after="0" w:line="360" w:lineRule="auto"/>
        <w:rPr>
          <w:rFonts w:ascii="Verdana" w:hAnsi="Verdana" w:cs="Verdana"/>
          <w:color w:val="000000"/>
        </w:rPr>
      </w:pPr>
      <w:r w:rsidRPr="00D74A13">
        <w:rPr>
          <w:rFonts w:ascii="Verdana" w:hAnsi="Verdana" w:cs="Verdana"/>
          <w:b/>
          <w:bCs/>
          <w:color w:val="000000"/>
        </w:rPr>
        <w:t>Background papers:</w:t>
      </w:r>
    </w:p>
    <w:p w:rsidR="003306CE" w:rsidRPr="00D74A13" w:rsidRDefault="003306CE" w:rsidP="00AA7B8F">
      <w:pPr>
        <w:pStyle w:val="ListParagraph"/>
        <w:numPr>
          <w:ilvl w:val="0"/>
          <w:numId w:val="16"/>
        </w:numPr>
        <w:autoSpaceDE w:val="0"/>
        <w:autoSpaceDN w:val="0"/>
        <w:adjustRightInd w:val="0"/>
        <w:spacing w:after="0" w:line="360" w:lineRule="auto"/>
        <w:rPr>
          <w:rFonts w:ascii="Verdana" w:hAnsi="Verdana" w:cs="Verdana"/>
          <w:color w:val="000000"/>
        </w:rPr>
      </w:pPr>
      <w:r w:rsidRPr="00D74A13">
        <w:rPr>
          <w:rFonts w:ascii="Verdana" w:hAnsi="Verdana" w:cs="Verdana"/>
          <w:color w:val="000000"/>
        </w:rPr>
        <w:t>Allocations of Dedicated Schools Grant 201</w:t>
      </w:r>
      <w:r>
        <w:rPr>
          <w:rFonts w:ascii="Verdana" w:hAnsi="Verdana" w:cs="Verdana"/>
          <w:color w:val="000000"/>
        </w:rPr>
        <w:t>6</w:t>
      </w:r>
      <w:r w:rsidRPr="00D74A13">
        <w:rPr>
          <w:rFonts w:ascii="Verdana" w:hAnsi="Verdana" w:cs="Verdana"/>
          <w:color w:val="000000"/>
        </w:rPr>
        <w:t>/1</w:t>
      </w:r>
      <w:r>
        <w:rPr>
          <w:rFonts w:ascii="Verdana" w:hAnsi="Verdana" w:cs="Verdana"/>
          <w:color w:val="000000"/>
        </w:rPr>
        <w:t>7</w:t>
      </w:r>
      <w:r w:rsidRPr="00D74A13">
        <w:rPr>
          <w:rFonts w:ascii="Verdana" w:hAnsi="Verdana" w:cs="Verdana"/>
          <w:color w:val="000000"/>
        </w:rPr>
        <w:t xml:space="preserve"> </w:t>
      </w:r>
    </w:p>
    <w:p w:rsidR="003306CE" w:rsidRPr="00D74A13" w:rsidRDefault="003306CE" w:rsidP="00AA7B8F">
      <w:pPr>
        <w:pStyle w:val="ListParagraph"/>
        <w:numPr>
          <w:ilvl w:val="0"/>
          <w:numId w:val="16"/>
        </w:numPr>
        <w:autoSpaceDE w:val="0"/>
        <w:autoSpaceDN w:val="0"/>
        <w:adjustRightInd w:val="0"/>
        <w:spacing w:after="0" w:line="360" w:lineRule="auto"/>
        <w:rPr>
          <w:rFonts w:ascii="Verdana" w:hAnsi="Verdana" w:cs="Verdana"/>
          <w:color w:val="000000"/>
        </w:rPr>
      </w:pPr>
      <w:r w:rsidRPr="00D74A13">
        <w:rPr>
          <w:rFonts w:ascii="Verdana" w:hAnsi="Verdana" w:cs="Verdana"/>
          <w:color w:val="000000"/>
        </w:rPr>
        <w:t>Department for Education website</w:t>
      </w:r>
    </w:p>
    <w:p w:rsidR="003306CE" w:rsidRDefault="003306CE" w:rsidP="00AA7B8F">
      <w:pPr>
        <w:spacing w:after="0" w:line="360" w:lineRule="auto"/>
        <w:ind w:left="567" w:hanging="567"/>
        <w:jc w:val="both"/>
      </w:pPr>
    </w:p>
    <w:p w:rsidR="003306CE" w:rsidRDefault="003306CE" w:rsidP="00AA7B8F">
      <w:pPr>
        <w:spacing w:after="0" w:line="360" w:lineRule="auto"/>
        <w:ind w:left="567" w:hanging="567"/>
        <w:jc w:val="both"/>
      </w:pPr>
    </w:p>
    <w:p w:rsidR="003306CE" w:rsidRPr="00D74A13" w:rsidRDefault="003306CE" w:rsidP="00AA7B8F">
      <w:pPr>
        <w:autoSpaceDE w:val="0"/>
        <w:autoSpaceDN w:val="0"/>
        <w:adjustRightInd w:val="0"/>
        <w:spacing w:after="0" w:line="360" w:lineRule="auto"/>
        <w:ind w:right="-1440"/>
        <w:rPr>
          <w:rFonts w:ascii="Verdana" w:hAnsi="Verdana" w:cs="Verdana"/>
          <w:color w:val="000000"/>
        </w:rPr>
      </w:pPr>
      <w:r w:rsidRPr="00D74A13">
        <w:rPr>
          <w:rFonts w:ascii="Verdana" w:hAnsi="Verdana" w:cs="Verdana"/>
          <w:b/>
          <w:bCs/>
          <w:color w:val="000000"/>
        </w:rPr>
        <w:t xml:space="preserve">Contact officer: </w:t>
      </w:r>
      <w:r>
        <w:rPr>
          <w:rFonts w:ascii="Verdana" w:hAnsi="Verdana" w:cs="Verdana"/>
          <w:b/>
          <w:bCs/>
          <w:color w:val="000000"/>
        </w:rPr>
        <w:t>Andrew Tagg</w:t>
      </w:r>
      <w:r w:rsidR="00AC27C8">
        <w:rPr>
          <w:rFonts w:ascii="Verdana" w:hAnsi="Verdana" w:cs="Verdana"/>
          <w:b/>
          <w:bCs/>
          <w:color w:val="000000"/>
        </w:rPr>
        <w:t>,</w:t>
      </w:r>
      <w:r>
        <w:rPr>
          <w:rFonts w:ascii="Verdana" w:hAnsi="Verdana" w:cs="Verdana"/>
          <w:b/>
          <w:bCs/>
          <w:color w:val="000000"/>
        </w:rPr>
        <w:t xml:space="preserve"> Head of Resources </w:t>
      </w:r>
    </w:p>
    <w:p w:rsidR="00CF1B30" w:rsidRDefault="003306CE" w:rsidP="00AA7B8F">
      <w:pPr>
        <w:autoSpaceDE w:val="0"/>
        <w:autoSpaceDN w:val="0"/>
        <w:adjustRightInd w:val="0"/>
        <w:spacing w:after="0" w:line="360" w:lineRule="auto"/>
        <w:rPr>
          <w:rFonts w:ascii="Verdana" w:hAnsi="Verdana" w:cs="Verdana"/>
          <w:color w:val="000000"/>
        </w:rPr>
      </w:pPr>
      <w:r w:rsidRPr="00D74A13">
        <w:rPr>
          <w:rFonts w:ascii="Verdana" w:hAnsi="Verdana" w:cs="Verdana"/>
          <w:b/>
          <w:bCs/>
          <w:color w:val="000000"/>
        </w:rPr>
        <w:t xml:space="preserve">Tel: </w:t>
      </w:r>
      <w:r w:rsidR="00CF1B30">
        <w:rPr>
          <w:rFonts w:ascii="Verdana" w:hAnsi="Verdana" w:cs="Verdana"/>
          <w:color w:val="000000"/>
        </w:rPr>
        <w:t xml:space="preserve">020 7361 3315 </w:t>
      </w:r>
    </w:p>
    <w:p w:rsidR="00E4279B" w:rsidRDefault="00AC27C8" w:rsidP="002C22C8">
      <w:pPr>
        <w:autoSpaceDE w:val="0"/>
        <w:autoSpaceDN w:val="0"/>
        <w:adjustRightInd w:val="0"/>
        <w:spacing w:after="0" w:line="360" w:lineRule="auto"/>
        <w:rPr>
          <w:rFonts w:ascii="Verdana" w:hAnsi="Verdana"/>
        </w:rPr>
      </w:pPr>
      <w:r>
        <w:rPr>
          <w:rFonts w:ascii="Verdana" w:hAnsi="Verdana" w:cs="Verdana"/>
          <w:b/>
          <w:bCs/>
          <w:color w:val="000000"/>
        </w:rPr>
        <w:t>E</w:t>
      </w:r>
      <w:r w:rsidR="003306CE" w:rsidRPr="00CF1B30">
        <w:rPr>
          <w:rFonts w:ascii="Verdana" w:hAnsi="Verdana" w:cs="Verdana"/>
          <w:b/>
          <w:bCs/>
          <w:color w:val="000000"/>
        </w:rPr>
        <w:t>-mail:</w:t>
      </w:r>
      <w:r w:rsidR="003306CE" w:rsidRPr="003306CE">
        <w:rPr>
          <w:rFonts w:ascii="Verdana" w:hAnsi="Verdana" w:cs="Verdana"/>
          <w:bCs/>
          <w:color w:val="000000"/>
        </w:rPr>
        <w:t xml:space="preserve"> a</w:t>
      </w:r>
      <w:r w:rsidR="003306CE">
        <w:rPr>
          <w:rFonts w:ascii="Verdana" w:hAnsi="Verdana" w:cs="Verdana"/>
          <w:bCs/>
          <w:color w:val="000000"/>
        </w:rPr>
        <w:t>n</w:t>
      </w:r>
      <w:r w:rsidR="003306CE" w:rsidRPr="003306CE">
        <w:rPr>
          <w:rFonts w:ascii="Verdana" w:hAnsi="Verdana" w:cs="Verdana"/>
          <w:bCs/>
          <w:color w:val="000000"/>
        </w:rPr>
        <w:t>drew.tagg</w:t>
      </w:r>
      <w:r w:rsidR="003306CE">
        <w:rPr>
          <w:rFonts w:ascii="Verdana" w:hAnsi="Verdana" w:cs="Verdana"/>
          <w:bCs/>
          <w:color w:val="000000"/>
        </w:rPr>
        <w:t>@</w:t>
      </w:r>
      <w:r w:rsidR="003306CE" w:rsidRPr="003306CE">
        <w:rPr>
          <w:rFonts w:ascii="Verdana" w:hAnsi="Verdana" w:cs="Verdana"/>
          <w:color w:val="000000"/>
        </w:rPr>
        <w:t>rbkc.gov.uk</w:t>
      </w:r>
    </w:p>
    <w:p w:rsidR="00E4279B" w:rsidRDefault="00E4279B" w:rsidP="00513CC3">
      <w:pPr>
        <w:pStyle w:val="Default"/>
        <w:ind w:left="720" w:hanging="720"/>
        <w:jc w:val="both"/>
        <w:rPr>
          <w:rFonts w:ascii="Verdana" w:hAnsi="Verdana"/>
        </w:rPr>
      </w:pPr>
    </w:p>
    <w:p w:rsidR="00E4279B" w:rsidRDefault="00E4279B" w:rsidP="00513CC3">
      <w:pPr>
        <w:pStyle w:val="Default"/>
        <w:ind w:left="720" w:hanging="720"/>
        <w:jc w:val="both"/>
        <w:rPr>
          <w:rFonts w:ascii="Verdana" w:hAnsi="Verdana"/>
        </w:rPr>
      </w:pPr>
    </w:p>
    <w:p w:rsidR="00513CC3" w:rsidRDefault="00513CC3" w:rsidP="00513CC3">
      <w:pPr>
        <w:pStyle w:val="Default"/>
        <w:ind w:left="720" w:hanging="720"/>
        <w:jc w:val="both"/>
        <w:rPr>
          <w:rFonts w:ascii="Verdana" w:hAnsi="Verdana"/>
        </w:rPr>
      </w:pPr>
    </w:p>
    <w:p w:rsidR="00513CC3" w:rsidRDefault="00513CC3" w:rsidP="00513CC3">
      <w:pPr>
        <w:pStyle w:val="Default"/>
        <w:ind w:left="720" w:hanging="720"/>
        <w:jc w:val="both"/>
        <w:rPr>
          <w:rFonts w:ascii="Verdana" w:hAnsi="Verdana"/>
        </w:rPr>
      </w:pPr>
    </w:p>
    <w:p w:rsidR="00C674B2" w:rsidRDefault="00513CC3" w:rsidP="00513CC3">
      <w:pPr>
        <w:pStyle w:val="Default"/>
        <w:ind w:left="-851" w:right="-733" w:firstLine="142"/>
        <w:rPr>
          <w:rFonts w:ascii="Verdana" w:hAnsi="Verdana"/>
          <w:sz w:val="19"/>
          <w:szCs w:val="19"/>
        </w:rPr>
      </w:pP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p>
    <w:p w:rsidR="009B407C" w:rsidRPr="00EA1327" w:rsidRDefault="009B407C" w:rsidP="009B407C">
      <w:pPr>
        <w:pStyle w:val="ListParagraph"/>
        <w:spacing w:line="360" w:lineRule="auto"/>
        <w:ind w:left="1080"/>
        <w:rPr>
          <w:rFonts w:ascii="Verdana" w:hAnsi="Verdana" w:cs="Calibri"/>
          <w:lang w:val="en"/>
        </w:rPr>
      </w:pPr>
    </w:p>
    <w:sectPr w:rsidR="009B407C" w:rsidRPr="00EA1327" w:rsidSect="00B02927">
      <w:pgSz w:w="11906" w:h="16838"/>
      <w:pgMar w:top="1440"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99" w:rsidRDefault="00DB1799">
      <w:pPr>
        <w:spacing w:after="0" w:line="240" w:lineRule="auto"/>
      </w:pPr>
      <w:r>
        <w:separator/>
      </w:r>
    </w:p>
  </w:endnote>
  <w:endnote w:type="continuationSeparator" w:id="0">
    <w:p w:rsidR="00DB1799" w:rsidRDefault="00DB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C8" w:rsidRDefault="00AC27C8">
    <w:pPr>
      <w:pStyle w:val="Footer"/>
    </w:pPr>
  </w:p>
  <w:p w:rsidR="00A043F8" w:rsidRDefault="00A043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215820"/>
      <w:docPartObj>
        <w:docPartGallery w:val="Page Numbers (Bottom of Page)"/>
        <w:docPartUnique/>
      </w:docPartObj>
    </w:sdtPr>
    <w:sdtEndPr>
      <w:rPr>
        <w:rFonts w:ascii="Verdana" w:hAnsi="Verdana"/>
        <w:noProof/>
      </w:rPr>
    </w:sdtEndPr>
    <w:sdtContent>
      <w:sdt>
        <w:sdtPr>
          <w:id w:val="-1921014030"/>
          <w:docPartObj>
            <w:docPartGallery w:val="Page Numbers (Bottom of Page)"/>
            <w:docPartUnique/>
          </w:docPartObj>
        </w:sdtPr>
        <w:sdtEndPr/>
        <w:sdtContent>
          <w:p w:rsidR="0030119C" w:rsidRPr="00173624" w:rsidRDefault="00D53B1F" w:rsidP="00D53B1F">
            <w:pPr>
              <w:pStyle w:val="Footer"/>
              <w:jc w:val="center"/>
              <w:rPr>
                <w:rFonts w:ascii="Verdana" w:hAnsi="Verdana"/>
              </w:rPr>
            </w:pPr>
            <w:r>
              <w:t xml:space="preserve">Page </w:t>
            </w:r>
            <w:r>
              <w:rPr>
                <w:rFonts w:ascii="Verdana" w:hAnsi="Verdana"/>
              </w:rPr>
              <w:fldChar w:fldCharType="begin"/>
            </w:r>
            <w:r>
              <w:rPr>
                <w:rFonts w:ascii="Verdana" w:hAnsi="Verdana"/>
              </w:rPr>
              <w:instrText xml:space="preserve"> PAGE   \* MERGEFORMAT </w:instrText>
            </w:r>
            <w:r>
              <w:rPr>
                <w:rFonts w:ascii="Verdana" w:hAnsi="Verdana"/>
              </w:rPr>
              <w:fldChar w:fldCharType="separate"/>
            </w:r>
            <w:r w:rsidR="002D76D5">
              <w:rPr>
                <w:rFonts w:ascii="Verdana" w:hAnsi="Verdana"/>
                <w:noProof/>
              </w:rPr>
              <w:t>7</w:t>
            </w:r>
            <w:r>
              <w:rPr>
                <w:rFonts w:ascii="Verdana" w:hAnsi="Verdana"/>
                <w:noProof/>
              </w:rPr>
              <w:fldChar w:fldCharType="end"/>
            </w:r>
            <w:r>
              <w:rPr>
                <w:rFonts w:ascii="Verdana" w:hAnsi="Verdana"/>
                <w:noProof/>
              </w:rPr>
              <w:t xml:space="preserve"> of </w:t>
            </w:r>
            <w:r>
              <w:rPr>
                <w:rFonts w:ascii="Verdana" w:hAnsi="Verdana"/>
                <w:noProof/>
              </w:rPr>
              <w:fldChar w:fldCharType="begin"/>
            </w:r>
            <w:r>
              <w:rPr>
                <w:rFonts w:ascii="Verdana" w:hAnsi="Verdana"/>
                <w:noProof/>
              </w:rPr>
              <w:instrText xml:space="preserve"> NUMPAGES   \* MERGEFORMAT </w:instrText>
            </w:r>
            <w:r>
              <w:rPr>
                <w:rFonts w:ascii="Verdana" w:hAnsi="Verdana"/>
                <w:noProof/>
              </w:rPr>
              <w:fldChar w:fldCharType="separate"/>
            </w:r>
            <w:r w:rsidR="002D76D5">
              <w:rPr>
                <w:rFonts w:ascii="Verdana" w:hAnsi="Verdana"/>
                <w:noProof/>
              </w:rPr>
              <w:t>7</w:t>
            </w:r>
            <w:r>
              <w:rPr>
                <w:rFonts w:ascii="Verdana" w:hAnsi="Verdana"/>
                <w:noProof/>
              </w:rPr>
              <w:fldChar w:fldCharType="end"/>
            </w:r>
          </w:p>
        </w:sdtContent>
      </w:sdt>
    </w:sdtContent>
  </w:sdt>
  <w:p w:rsidR="0030119C" w:rsidRDefault="00301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99" w:rsidRDefault="00DB1799">
      <w:pPr>
        <w:spacing w:after="0" w:line="240" w:lineRule="auto"/>
      </w:pPr>
      <w:r>
        <w:separator/>
      </w:r>
    </w:p>
  </w:footnote>
  <w:footnote w:type="continuationSeparator" w:id="0">
    <w:p w:rsidR="00DB1799" w:rsidRDefault="00DB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C8" w:rsidRDefault="00AC27C8">
    <w:pPr>
      <w:pStyle w:val="Header"/>
    </w:pPr>
  </w:p>
  <w:p w:rsidR="00A043F8" w:rsidRDefault="00A043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0101000"/>
    <w:multiLevelType w:val="multilevel"/>
    <w:tmpl w:val="131426A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8A52BC"/>
    <w:multiLevelType w:val="hybridMultilevel"/>
    <w:tmpl w:val="955A01D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19B4F54"/>
    <w:multiLevelType w:val="multilevel"/>
    <w:tmpl w:val="3F66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65BAC"/>
    <w:multiLevelType w:val="hybridMultilevel"/>
    <w:tmpl w:val="4BC0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D68A1"/>
    <w:multiLevelType w:val="hybridMultilevel"/>
    <w:tmpl w:val="5D12E05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461E99"/>
    <w:multiLevelType w:val="hybridMultilevel"/>
    <w:tmpl w:val="2C7E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052DA"/>
    <w:multiLevelType w:val="multilevel"/>
    <w:tmpl w:val="B622C25C"/>
    <w:lvl w:ilvl="0">
      <w:start w:val="1"/>
      <w:numFmt w:val="decimal"/>
      <w:lvlText w:val="%1."/>
      <w:lvlJc w:val="left"/>
      <w:pPr>
        <w:ind w:left="930" w:hanging="570"/>
      </w:pPr>
      <w:rPr>
        <w:rFonts w:hint="default"/>
      </w:rPr>
    </w:lvl>
    <w:lvl w:ilvl="1">
      <w:start w:val="2"/>
      <w:numFmt w:val="decimal"/>
      <w:isLgl/>
      <w:lvlText w:val="%1.%2"/>
      <w:lvlJc w:val="left"/>
      <w:pPr>
        <w:ind w:left="1080" w:hanging="720"/>
      </w:pPr>
      <w:rPr>
        <w:rFonts w:cstheme="minorBidi" w:hint="default"/>
        <w:color w:val="auto"/>
        <w:sz w:val="24"/>
      </w:rPr>
    </w:lvl>
    <w:lvl w:ilvl="2">
      <w:start w:val="1"/>
      <w:numFmt w:val="decimal"/>
      <w:isLgl/>
      <w:lvlText w:val="%1.%2.%3"/>
      <w:lvlJc w:val="left"/>
      <w:pPr>
        <w:ind w:left="1440" w:hanging="1080"/>
      </w:pPr>
      <w:rPr>
        <w:rFonts w:cstheme="minorBidi" w:hint="default"/>
        <w:color w:val="auto"/>
        <w:sz w:val="24"/>
      </w:rPr>
    </w:lvl>
    <w:lvl w:ilvl="3">
      <w:start w:val="1"/>
      <w:numFmt w:val="decimal"/>
      <w:isLgl/>
      <w:lvlText w:val="%1.%2.%3.%4"/>
      <w:lvlJc w:val="left"/>
      <w:pPr>
        <w:ind w:left="1440" w:hanging="1080"/>
      </w:pPr>
      <w:rPr>
        <w:rFonts w:cstheme="minorBidi" w:hint="default"/>
        <w:color w:val="auto"/>
        <w:sz w:val="24"/>
      </w:rPr>
    </w:lvl>
    <w:lvl w:ilvl="4">
      <w:start w:val="1"/>
      <w:numFmt w:val="decimal"/>
      <w:isLgl/>
      <w:lvlText w:val="%1.%2.%3.%4.%5"/>
      <w:lvlJc w:val="left"/>
      <w:pPr>
        <w:ind w:left="1800" w:hanging="1440"/>
      </w:pPr>
      <w:rPr>
        <w:rFonts w:cstheme="minorBidi" w:hint="default"/>
        <w:color w:val="auto"/>
        <w:sz w:val="24"/>
      </w:rPr>
    </w:lvl>
    <w:lvl w:ilvl="5">
      <w:start w:val="1"/>
      <w:numFmt w:val="decimal"/>
      <w:isLgl/>
      <w:lvlText w:val="%1.%2.%3.%4.%5.%6"/>
      <w:lvlJc w:val="left"/>
      <w:pPr>
        <w:ind w:left="2160" w:hanging="1800"/>
      </w:pPr>
      <w:rPr>
        <w:rFonts w:cstheme="minorBidi" w:hint="default"/>
        <w:color w:val="auto"/>
        <w:sz w:val="24"/>
      </w:rPr>
    </w:lvl>
    <w:lvl w:ilvl="6">
      <w:start w:val="1"/>
      <w:numFmt w:val="decimal"/>
      <w:isLgl/>
      <w:lvlText w:val="%1.%2.%3.%4.%5.%6.%7"/>
      <w:lvlJc w:val="left"/>
      <w:pPr>
        <w:ind w:left="2520" w:hanging="2160"/>
      </w:pPr>
      <w:rPr>
        <w:rFonts w:cstheme="minorBidi" w:hint="default"/>
        <w:color w:val="auto"/>
        <w:sz w:val="24"/>
      </w:rPr>
    </w:lvl>
    <w:lvl w:ilvl="7">
      <w:start w:val="1"/>
      <w:numFmt w:val="decimal"/>
      <w:isLgl/>
      <w:lvlText w:val="%1.%2.%3.%4.%5.%6.%7.%8"/>
      <w:lvlJc w:val="left"/>
      <w:pPr>
        <w:ind w:left="2880" w:hanging="2520"/>
      </w:pPr>
      <w:rPr>
        <w:rFonts w:cstheme="minorBidi" w:hint="default"/>
        <w:color w:val="auto"/>
        <w:sz w:val="24"/>
      </w:rPr>
    </w:lvl>
    <w:lvl w:ilvl="8">
      <w:start w:val="1"/>
      <w:numFmt w:val="decimal"/>
      <w:isLgl/>
      <w:lvlText w:val="%1.%2.%3.%4.%5.%6.%7.%8.%9"/>
      <w:lvlJc w:val="left"/>
      <w:pPr>
        <w:ind w:left="2880" w:hanging="2520"/>
      </w:pPr>
      <w:rPr>
        <w:rFonts w:cstheme="minorBidi" w:hint="default"/>
        <w:color w:val="auto"/>
        <w:sz w:val="24"/>
      </w:rPr>
    </w:lvl>
  </w:abstractNum>
  <w:abstractNum w:abstractNumId="7" w15:restartNumberingAfterBreak="0">
    <w:nsid w:val="20C32369"/>
    <w:multiLevelType w:val="multilevel"/>
    <w:tmpl w:val="4732CF3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49E0766"/>
    <w:multiLevelType w:val="multilevel"/>
    <w:tmpl w:val="22A6BD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D102C4"/>
    <w:multiLevelType w:val="multilevel"/>
    <w:tmpl w:val="FE4EBF8C"/>
    <w:lvl w:ilvl="0">
      <w:start w:val="2"/>
      <w:numFmt w:val="decimal"/>
      <w:lvlText w:val="%1"/>
      <w:lvlJc w:val="left"/>
      <w:pPr>
        <w:ind w:left="390" w:hanging="390"/>
      </w:pPr>
      <w:rPr>
        <w:rFonts w:cstheme="minorBidi" w:hint="default"/>
      </w:rPr>
    </w:lvl>
    <w:lvl w:ilvl="1">
      <w:start w:val="2"/>
      <w:numFmt w:val="decimal"/>
      <w:lvlText w:val="%1.%2"/>
      <w:lvlJc w:val="left"/>
      <w:pPr>
        <w:ind w:left="720" w:hanging="720"/>
      </w:pPr>
      <w:rPr>
        <w:rFonts w:cstheme="minorBidi" w:hint="default"/>
        <w:b w:val="0"/>
      </w:rPr>
    </w:lvl>
    <w:lvl w:ilvl="2">
      <w:start w:val="1"/>
      <w:numFmt w:val="decimal"/>
      <w:lvlText w:val="%1.%2.%3"/>
      <w:lvlJc w:val="left"/>
      <w:pPr>
        <w:ind w:left="1080" w:hanging="108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800" w:hanging="1800"/>
      </w:pPr>
      <w:rPr>
        <w:rFonts w:cstheme="minorBidi" w:hint="default"/>
      </w:rPr>
    </w:lvl>
    <w:lvl w:ilvl="6">
      <w:start w:val="1"/>
      <w:numFmt w:val="decimal"/>
      <w:lvlText w:val="%1.%2.%3.%4.%5.%6.%7"/>
      <w:lvlJc w:val="left"/>
      <w:pPr>
        <w:ind w:left="2160" w:hanging="2160"/>
      </w:pPr>
      <w:rPr>
        <w:rFonts w:cstheme="minorBidi" w:hint="default"/>
      </w:rPr>
    </w:lvl>
    <w:lvl w:ilvl="7">
      <w:start w:val="1"/>
      <w:numFmt w:val="decimal"/>
      <w:lvlText w:val="%1.%2.%3.%4.%5.%6.%7.%8"/>
      <w:lvlJc w:val="left"/>
      <w:pPr>
        <w:ind w:left="2520" w:hanging="2520"/>
      </w:pPr>
      <w:rPr>
        <w:rFonts w:cstheme="minorBidi" w:hint="default"/>
      </w:rPr>
    </w:lvl>
    <w:lvl w:ilvl="8">
      <w:start w:val="1"/>
      <w:numFmt w:val="decimal"/>
      <w:lvlText w:val="%1.%2.%3.%4.%5.%6.%7.%8.%9"/>
      <w:lvlJc w:val="left"/>
      <w:pPr>
        <w:ind w:left="2520" w:hanging="2520"/>
      </w:pPr>
      <w:rPr>
        <w:rFonts w:cstheme="minorBidi" w:hint="default"/>
      </w:rPr>
    </w:lvl>
  </w:abstractNum>
  <w:abstractNum w:abstractNumId="10" w15:restartNumberingAfterBreak="0">
    <w:nsid w:val="2C625907"/>
    <w:multiLevelType w:val="multilevel"/>
    <w:tmpl w:val="37F0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119AE"/>
    <w:multiLevelType w:val="multilevel"/>
    <w:tmpl w:val="4F70EE00"/>
    <w:lvl w:ilvl="0">
      <w:start w:val="2"/>
      <w:numFmt w:val="decimal"/>
      <w:lvlText w:val="%1"/>
      <w:lvlJc w:val="left"/>
      <w:pPr>
        <w:ind w:left="502" w:hanging="360"/>
      </w:pPr>
      <w:rPr>
        <w:rFonts w:hint="default"/>
        <w:b/>
      </w:rPr>
    </w:lvl>
    <w:lvl w:ilvl="1">
      <w:start w:val="1"/>
      <w:numFmt w:val="decimal"/>
      <w:lvlText w:val="%1.%2"/>
      <w:lvlJc w:val="left"/>
      <w:pPr>
        <w:ind w:left="1222" w:hanging="360"/>
      </w:pPr>
      <w:rPr>
        <w:rFonts w:hint="default"/>
        <w:b/>
      </w:rPr>
    </w:lvl>
    <w:lvl w:ilvl="2">
      <w:start w:val="1"/>
      <w:numFmt w:val="decimal"/>
      <w:lvlText w:val="%1.%2.%3"/>
      <w:lvlJc w:val="left"/>
      <w:pPr>
        <w:ind w:left="2302" w:hanging="720"/>
      </w:pPr>
      <w:rPr>
        <w:rFonts w:hint="default"/>
        <w:b/>
      </w:rPr>
    </w:lvl>
    <w:lvl w:ilvl="3">
      <w:start w:val="1"/>
      <w:numFmt w:val="decimal"/>
      <w:lvlText w:val="%1.%2.%3.%4"/>
      <w:lvlJc w:val="left"/>
      <w:pPr>
        <w:ind w:left="3022" w:hanging="720"/>
      </w:pPr>
      <w:rPr>
        <w:rFonts w:hint="default"/>
        <w:b/>
      </w:rPr>
    </w:lvl>
    <w:lvl w:ilvl="4">
      <w:start w:val="1"/>
      <w:numFmt w:val="decimal"/>
      <w:lvlText w:val="%1.%2.%3.%4.%5"/>
      <w:lvlJc w:val="left"/>
      <w:pPr>
        <w:ind w:left="4102" w:hanging="1080"/>
      </w:pPr>
      <w:rPr>
        <w:rFonts w:hint="default"/>
        <w:b/>
      </w:rPr>
    </w:lvl>
    <w:lvl w:ilvl="5">
      <w:start w:val="1"/>
      <w:numFmt w:val="decimal"/>
      <w:lvlText w:val="%1.%2.%3.%4.%5.%6"/>
      <w:lvlJc w:val="left"/>
      <w:pPr>
        <w:ind w:left="4822" w:hanging="1080"/>
      </w:pPr>
      <w:rPr>
        <w:rFonts w:hint="default"/>
        <w:b/>
      </w:rPr>
    </w:lvl>
    <w:lvl w:ilvl="6">
      <w:start w:val="1"/>
      <w:numFmt w:val="decimal"/>
      <w:lvlText w:val="%1.%2.%3.%4.%5.%6.%7"/>
      <w:lvlJc w:val="left"/>
      <w:pPr>
        <w:ind w:left="5902" w:hanging="1440"/>
      </w:pPr>
      <w:rPr>
        <w:rFonts w:hint="default"/>
        <w:b/>
      </w:rPr>
    </w:lvl>
    <w:lvl w:ilvl="7">
      <w:start w:val="1"/>
      <w:numFmt w:val="decimal"/>
      <w:lvlText w:val="%1.%2.%3.%4.%5.%6.%7.%8"/>
      <w:lvlJc w:val="left"/>
      <w:pPr>
        <w:ind w:left="6622" w:hanging="1440"/>
      </w:pPr>
      <w:rPr>
        <w:rFonts w:hint="default"/>
        <w:b/>
      </w:rPr>
    </w:lvl>
    <w:lvl w:ilvl="8">
      <w:start w:val="1"/>
      <w:numFmt w:val="decimal"/>
      <w:lvlText w:val="%1.%2.%3.%4.%5.%6.%7.%8.%9"/>
      <w:lvlJc w:val="left"/>
      <w:pPr>
        <w:ind w:left="7702" w:hanging="1800"/>
      </w:pPr>
      <w:rPr>
        <w:rFonts w:hint="default"/>
        <w:b/>
      </w:rPr>
    </w:lvl>
  </w:abstractNum>
  <w:abstractNum w:abstractNumId="12" w15:restartNumberingAfterBreak="0">
    <w:nsid w:val="448E35CB"/>
    <w:multiLevelType w:val="multilevel"/>
    <w:tmpl w:val="E824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50755"/>
    <w:multiLevelType w:val="multilevel"/>
    <w:tmpl w:val="D57C6E40"/>
    <w:lvl w:ilvl="0">
      <w:start w:val="4"/>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662" w:hanging="108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462" w:hanging="1440"/>
      </w:pPr>
      <w:rPr>
        <w:rFonts w:hint="default"/>
      </w:rPr>
    </w:lvl>
    <w:lvl w:ilvl="5">
      <w:start w:val="1"/>
      <w:numFmt w:val="decimal"/>
      <w:lvlText w:val="%1.%2.%3.%4.%5.%6"/>
      <w:lvlJc w:val="left"/>
      <w:pPr>
        <w:ind w:left="5542" w:hanging="1800"/>
      </w:pPr>
      <w:rPr>
        <w:rFonts w:hint="default"/>
      </w:rPr>
    </w:lvl>
    <w:lvl w:ilvl="6">
      <w:start w:val="1"/>
      <w:numFmt w:val="decimal"/>
      <w:lvlText w:val="%1.%2.%3.%4.%5.%6.%7"/>
      <w:lvlJc w:val="left"/>
      <w:pPr>
        <w:ind w:left="6622" w:hanging="2160"/>
      </w:pPr>
      <w:rPr>
        <w:rFonts w:hint="default"/>
      </w:rPr>
    </w:lvl>
    <w:lvl w:ilvl="7">
      <w:start w:val="1"/>
      <w:numFmt w:val="decimal"/>
      <w:lvlText w:val="%1.%2.%3.%4.%5.%6.%7.%8"/>
      <w:lvlJc w:val="left"/>
      <w:pPr>
        <w:ind w:left="7702" w:hanging="2520"/>
      </w:pPr>
      <w:rPr>
        <w:rFonts w:hint="default"/>
      </w:rPr>
    </w:lvl>
    <w:lvl w:ilvl="8">
      <w:start w:val="1"/>
      <w:numFmt w:val="decimal"/>
      <w:lvlText w:val="%1.%2.%3.%4.%5.%6.%7.%8.%9"/>
      <w:lvlJc w:val="left"/>
      <w:pPr>
        <w:ind w:left="8422" w:hanging="2520"/>
      </w:pPr>
      <w:rPr>
        <w:rFonts w:hint="default"/>
      </w:rPr>
    </w:lvl>
  </w:abstractNum>
  <w:abstractNum w:abstractNumId="14" w15:restartNumberingAfterBreak="0">
    <w:nsid w:val="459651FA"/>
    <w:multiLevelType w:val="multilevel"/>
    <w:tmpl w:val="C388DB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3E3B9D"/>
    <w:multiLevelType w:val="multilevel"/>
    <w:tmpl w:val="73F88B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E836F5"/>
    <w:multiLevelType w:val="hybridMultilevel"/>
    <w:tmpl w:val="11288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8"/>
  </w:num>
  <w:num w:numId="3">
    <w:abstractNumId w:val="10"/>
  </w:num>
  <w:num w:numId="4">
    <w:abstractNumId w:val="2"/>
  </w:num>
  <w:num w:numId="5">
    <w:abstractNumId w:val="12"/>
  </w:num>
  <w:num w:numId="6">
    <w:abstractNumId w:val="14"/>
  </w:num>
  <w:num w:numId="7">
    <w:abstractNumId w:val="4"/>
  </w:num>
  <w:num w:numId="8">
    <w:abstractNumId w:val="9"/>
  </w:num>
  <w:num w:numId="9">
    <w:abstractNumId w:val="16"/>
  </w:num>
  <w:num w:numId="10">
    <w:abstractNumId w:val="11"/>
  </w:num>
  <w:num w:numId="11">
    <w:abstractNumId w:val="0"/>
  </w:num>
  <w:num w:numId="12">
    <w:abstractNumId w:val="7"/>
  </w:num>
  <w:num w:numId="13">
    <w:abstractNumId w:val="1"/>
  </w:num>
  <w:num w:numId="14">
    <w:abstractNumId w:val="13"/>
  </w:num>
  <w:num w:numId="15">
    <w:abstractNumId w:val="6"/>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97"/>
    <w:rsid w:val="00006D26"/>
    <w:rsid w:val="000125CE"/>
    <w:rsid w:val="000D30D3"/>
    <w:rsid w:val="00173624"/>
    <w:rsid w:val="0018080B"/>
    <w:rsid w:val="001B2327"/>
    <w:rsid w:val="002273BA"/>
    <w:rsid w:val="0023103E"/>
    <w:rsid w:val="00231D7A"/>
    <w:rsid w:val="002C22C8"/>
    <w:rsid w:val="002D76D5"/>
    <w:rsid w:val="002F7CE0"/>
    <w:rsid w:val="0030119C"/>
    <w:rsid w:val="003306CE"/>
    <w:rsid w:val="00347BFA"/>
    <w:rsid w:val="00356B97"/>
    <w:rsid w:val="003824E2"/>
    <w:rsid w:val="00416053"/>
    <w:rsid w:val="00480226"/>
    <w:rsid w:val="004A1C13"/>
    <w:rsid w:val="004B066D"/>
    <w:rsid w:val="004E19AC"/>
    <w:rsid w:val="005025DF"/>
    <w:rsid w:val="00513CC3"/>
    <w:rsid w:val="005E790C"/>
    <w:rsid w:val="005F059C"/>
    <w:rsid w:val="006010EC"/>
    <w:rsid w:val="00621224"/>
    <w:rsid w:val="00633B65"/>
    <w:rsid w:val="00667628"/>
    <w:rsid w:val="006C4D9F"/>
    <w:rsid w:val="006E4455"/>
    <w:rsid w:val="006F40E4"/>
    <w:rsid w:val="00725096"/>
    <w:rsid w:val="0075471B"/>
    <w:rsid w:val="00774945"/>
    <w:rsid w:val="007C0DCF"/>
    <w:rsid w:val="00841857"/>
    <w:rsid w:val="008E51F2"/>
    <w:rsid w:val="009259EA"/>
    <w:rsid w:val="00944C8E"/>
    <w:rsid w:val="009B407C"/>
    <w:rsid w:val="009E2B02"/>
    <w:rsid w:val="00A043F8"/>
    <w:rsid w:val="00A17665"/>
    <w:rsid w:val="00AA7B8F"/>
    <w:rsid w:val="00AB554C"/>
    <w:rsid w:val="00AC27C8"/>
    <w:rsid w:val="00B02927"/>
    <w:rsid w:val="00B44865"/>
    <w:rsid w:val="00B44C44"/>
    <w:rsid w:val="00B50A51"/>
    <w:rsid w:val="00BA6247"/>
    <w:rsid w:val="00BB1E21"/>
    <w:rsid w:val="00C21440"/>
    <w:rsid w:val="00C50A00"/>
    <w:rsid w:val="00C53373"/>
    <w:rsid w:val="00C674B2"/>
    <w:rsid w:val="00CA03CC"/>
    <w:rsid w:val="00CA6860"/>
    <w:rsid w:val="00CF1B30"/>
    <w:rsid w:val="00CF3146"/>
    <w:rsid w:val="00D310F6"/>
    <w:rsid w:val="00D53B1F"/>
    <w:rsid w:val="00DB1799"/>
    <w:rsid w:val="00E4279B"/>
    <w:rsid w:val="00EA6062"/>
    <w:rsid w:val="00F42627"/>
    <w:rsid w:val="00F8763F"/>
    <w:rsid w:val="00FF6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8C17"/>
  <w15:chartTrackingRefBased/>
  <w15:docId w15:val="{E0F9ACE3-8F91-4572-B491-F44DB96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CE0"/>
  </w:style>
  <w:style w:type="paragraph" w:styleId="Heading1">
    <w:name w:val="heading 1"/>
    <w:basedOn w:val="Normal"/>
    <w:next w:val="Normal"/>
    <w:link w:val="Heading1Char"/>
    <w:uiPriority w:val="9"/>
    <w:qFormat/>
    <w:rsid w:val="009B407C"/>
    <w:pPr>
      <w:keepNext/>
      <w:keepLines/>
      <w:spacing w:before="480" w:after="0" w:line="240" w:lineRule="auto"/>
      <w:outlineLvl w:val="0"/>
    </w:pPr>
    <w:rPr>
      <w:rFonts w:asciiTheme="majorHAnsi" w:eastAsiaTheme="majorEastAsia" w:hAnsiTheme="majorHAnsi" w:cstheme="majorBidi"/>
      <w:b/>
      <w:bCs/>
      <w:color w:val="00177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6B97"/>
    <w:pPr>
      <w:autoSpaceDE w:val="0"/>
      <w:autoSpaceDN w:val="0"/>
      <w:adjustRightInd w:val="0"/>
      <w:spacing w:after="0" w:line="240" w:lineRule="auto"/>
    </w:pPr>
    <w:rPr>
      <w:rFonts w:ascii="Arial" w:hAnsi="Arial" w:cs="Arial"/>
      <w:color w:val="000000"/>
      <w:lang w:val="en-US"/>
    </w:rPr>
  </w:style>
  <w:style w:type="paragraph" w:styleId="ListParagraph">
    <w:name w:val="List Paragraph"/>
    <w:basedOn w:val="Normal"/>
    <w:uiPriority w:val="34"/>
    <w:qFormat/>
    <w:rsid w:val="00356B97"/>
    <w:pPr>
      <w:ind w:left="720"/>
      <w:contextualSpacing/>
    </w:pPr>
  </w:style>
  <w:style w:type="character" w:customStyle="1" w:styleId="Heading1Char">
    <w:name w:val="Heading 1 Char"/>
    <w:basedOn w:val="DefaultParagraphFont"/>
    <w:link w:val="Heading1"/>
    <w:uiPriority w:val="9"/>
    <w:rsid w:val="009B407C"/>
    <w:rPr>
      <w:rFonts w:asciiTheme="majorHAnsi" w:eastAsiaTheme="majorEastAsia" w:hAnsiTheme="majorHAnsi" w:cstheme="majorBidi"/>
      <w:b/>
      <w:bCs/>
      <w:color w:val="001777" w:themeColor="accent1" w:themeShade="BF"/>
      <w:sz w:val="28"/>
      <w:szCs w:val="28"/>
    </w:rPr>
  </w:style>
  <w:style w:type="paragraph" w:styleId="NormalWeb">
    <w:name w:val="Normal (Web)"/>
    <w:basedOn w:val="Normal"/>
    <w:uiPriority w:val="99"/>
    <w:semiHidden/>
    <w:unhideWhenUsed/>
    <w:rsid w:val="00B02927"/>
    <w:pPr>
      <w:spacing w:before="100" w:beforeAutospacing="1" w:after="100" w:afterAutospacing="1" w:line="240" w:lineRule="auto"/>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330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CE"/>
  </w:style>
  <w:style w:type="paragraph" w:styleId="BodyTextIndent">
    <w:name w:val="Body Text Indent"/>
    <w:basedOn w:val="Normal"/>
    <w:link w:val="BodyTextIndentChar"/>
    <w:uiPriority w:val="99"/>
    <w:unhideWhenUsed/>
    <w:rsid w:val="00C21440"/>
    <w:pPr>
      <w:spacing w:after="120" w:line="288" w:lineRule="auto"/>
      <w:ind w:left="283"/>
    </w:pPr>
    <w:rPr>
      <w:color w:val="5A5A5A"/>
      <w:sz w:val="20"/>
      <w:szCs w:val="20"/>
      <w:lang w:val="en-US" w:bidi="en-US"/>
    </w:rPr>
  </w:style>
  <w:style w:type="character" w:customStyle="1" w:styleId="BodyTextIndentChar">
    <w:name w:val="Body Text Indent Char"/>
    <w:basedOn w:val="DefaultParagraphFont"/>
    <w:link w:val="BodyTextIndent"/>
    <w:uiPriority w:val="99"/>
    <w:rsid w:val="00C21440"/>
    <w:rPr>
      <w:color w:val="5A5A5A"/>
      <w:sz w:val="20"/>
      <w:szCs w:val="20"/>
      <w:lang w:val="en-US" w:bidi="en-US"/>
    </w:rPr>
  </w:style>
  <w:style w:type="paragraph" w:styleId="Footer">
    <w:name w:val="footer"/>
    <w:basedOn w:val="Normal"/>
    <w:link w:val="FooterChar"/>
    <w:uiPriority w:val="99"/>
    <w:unhideWhenUsed/>
    <w:rsid w:val="00301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19C"/>
  </w:style>
  <w:style w:type="character" w:styleId="Hyperlink">
    <w:name w:val="Hyperlink"/>
    <w:basedOn w:val="DefaultParagraphFont"/>
    <w:uiPriority w:val="99"/>
    <w:semiHidden/>
    <w:unhideWhenUsed/>
    <w:rsid w:val="00F8763F"/>
    <w:rPr>
      <w:strike w:val="0"/>
      <w:dstrike w:val="0"/>
      <w:color w:val="7EB142"/>
      <w:u w:val="none"/>
      <w:effect w:val="none"/>
      <w:shd w:val="clear" w:color="auto" w:fill="auto"/>
    </w:rPr>
  </w:style>
  <w:style w:type="paragraph" w:styleId="BalloonText">
    <w:name w:val="Balloon Text"/>
    <w:basedOn w:val="Normal"/>
    <w:link w:val="BalloonTextChar"/>
    <w:uiPriority w:val="99"/>
    <w:semiHidden/>
    <w:unhideWhenUsed/>
    <w:rsid w:val="00BA6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247"/>
    <w:rPr>
      <w:rFonts w:ascii="Segoe UI" w:hAnsi="Segoe UI" w:cs="Segoe UI"/>
      <w:sz w:val="18"/>
      <w:szCs w:val="18"/>
    </w:rPr>
  </w:style>
  <w:style w:type="table" w:styleId="TableGrid">
    <w:name w:val="Table Grid"/>
    <w:basedOn w:val="TableNormal"/>
    <w:uiPriority w:val="39"/>
    <w:rsid w:val="00B4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701">
      <w:bodyDiv w:val="1"/>
      <w:marLeft w:val="0"/>
      <w:marRight w:val="0"/>
      <w:marTop w:val="0"/>
      <w:marBottom w:val="0"/>
      <w:divBdr>
        <w:top w:val="none" w:sz="0" w:space="0" w:color="auto"/>
        <w:left w:val="none" w:sz="0" w:space="0" w:color="auto"/>
        <w:bottom w:val="none" w:sz="0" w:space="0" w:color="auto"/>
        <w:right w:val="none" w:sz="0" w:space="0" w:color="auto"/>
      </w:divBdr>
    </w:div>
    <w:div w:id="96995997">
      <w:bodyDiv w:val="1"/>
      <w:marLeft w:val="0"/>
      <w:marRight w:val="0"/>
      <w:marTop w:val="0"/>
      <w:marBottom w:val="0"/>
      <w:divBdr>
        <w:top w:val="none" w:sz="0" w:space="0" w:color="auto"/>
        <w:left w:val="none" w:sz="0" w:space="0" w:color="auto"/>
        <w:bottom w:val="none" w:sz="0" w:space="0" w:color="auto"/>
        <w:right w:val="none" w:sz="0" w:space="0" w:color="auto"/>
      </w:divBdr>
      <w:divsChild>
        <w:div w:id="729959886">
          <w:marLeft w:val="0"/>
          <w:marRight w:val="0"/>
          <w:marTop w:val="225"/>
          <w:marBottom w:val="0"/>
          <w:divBdr>
            <w:top w:val="none" w:sz="0" w:space="0" w:color="auto"/>
            <w:left w:val="none" w:sz="0" w:space="0" w:color="auto"/>
            <w:bottom w:val="none" w:sz="0" w:space="0" w:color="auto"/>
            <w:right w:val="none" w:sz="0" w:space="0" w:color="auto"/>
          </w:divBdr>
          <w:divsChild>
            <w:div w:id="921640633">
              <w:marLeft w:val="0"/>
              <w:marRight w:val="0"/>
              <w:marTop w:val="0"/>
              <w:marBottom w:val="0"/>
              <w:divBdr>
                <w:top w:val="none" w:sz="0" w:space="0" w:color="auto"/>
                <w:left w:val="none" w:sz="0" w:space="0" w:color="auto"/>
                <w:bottom w:val="none" w:sz="0" w:space="0" w:color="auto"/>
                <w:right w:val="none" w:sz="0" w:space="0" w:color="auto"/>
              </w:divBdr>
              <w:divsChild>
                <w:div w:id="586160415">
                  <w:marLeft w:val="0"/>
                  <w:marRight w:val="0"/>
                  <w:marTop w:val="0"/>
                  <w:marBottom w:val="300"/>
                  <w:divBdr>
                    <w:top w:val="none" w:sz="0" w:space="0" w:color="auto"/>
                    <w:left w:val="none" w:sz="0" w:space="0" w:color="auto"/>
                    <w:bottom w:val="none" w:sz="0" w:space="0" w:color="auto"/>
                    <w:right w:val="none" w:sz="0" w:space="0" w:color="auto"/>
                  </w:divBdr>
                  <w:divsChild>
                    <w:div w:id="359211531">
                      <w:marLeft w:val="0"/>
                      <w:marRight w:val="0"/>
                      <w:marTop w:val="0"/>
                      <w:marBottom w:val="225"/>
                      <w:divBdr>
                        <w:top w:val="none" w:sz="0" w:space="0" w:color="auto"/>
                        <w:left w:val="none" w:sz="0" w:space="0" w:color="auto"/>
                        <w:bottom w:val="none" w:sz="0" w:space="0" w:color="auto"/>
                        <w:right w:val="none" w:sz="0" w:space="0" w:color="auto"/>
                      </w:divBdr>
                      <w:divsChild>
                        <w:div w:id="1512331034">
                          <w:marLeft w:val="0"/>
                          <w:marRight w:val="0"/>
                          <w:marTop w:val="0"/>
                          <w:marBottom w:val="0"/>
                          <w:divBdr>
                            <w:top w:val="none" w:sz="0" w:space="0" w:color="auto"/>
                            <w:left w:val="none" w:sz="0" w:space="0" w:color="auto"/>
                            <w:bottom w:val="none" w:sz="0" w:space="0" w:color="auto"/>
                            <w:right w:val="none" w:sz="0" w:space="0" w:color="auto"/>
                          </w:divBdr>
                          <w:divsChild>
                            <w:div w:id="1239898744">
                              <w:marLeft w:val="0"/>
                              <w:marRight w:val="0"/>
                              <w:marTop w:val="0"/>
                              <w:marBottom w:val="0"/>
                              <w:divBdr>
                                <w:top w:val="none" w:sz="0" w:space="0" w:color="auto"/>
                                <w:left w:val="none" w:sz="0" w:space="0" w:color="auto"/>
                                <w:bottom w:val="none" w:sz="0" w:space="0" w:color="auto"/>
                                <w:right w:val="none" w:sz="0" w:space="0" w:color="auto"/>
                              </w:divBdr>
                              <w:divsChild>
                                <w:div w:id="1486125039">
                                  <w:marLeft w:val="0"/>
                                  <w:marRight w:val="0"/>
                                  <w:marTop w:val="0"/>
                                  <w:marBottom w:val="0"/>
                                  <w:divBdr>
                                    <w:top w:val="none" w:sz="0" w:space="0" w:color="auto"/>
                                    <w:left w:val="none" w:sz="0" w:space="0" w:color="auto"/>
                                    <w:bottom w:val="none" w:sz="0" w:space="0" w:color="auto"/>
                                    <w:right w:val="none" w:sz="0" w:space="0" w:color="auto"/>
                                  </w:divBdr>
                                  <w:divsChild>
                                    <w:div w:id="1366444730">
                                      <w:marLeft w:val="0"/>
                                      <w:marRight w:val="0"/>
                                      <w:marTop w:val="0"/>
                                      <w:marBottom w:val="0"/>
                                      <w:divBdr>
                                        <w:top w:val="none" w:sz="0" w:space="0" w:color="auto"/>
                                        <w:left w:val="none" w:sz="0" w:space="0" w:color="auto"/>
                                        <w:bottom w:val="none" w:sz="0" w:space="0" w:color="auto"/>
                                        <w:right w:val="none" w:sz="0" w:space="0" w:color="auto"/>
                                      </w:divBdr>
                                      <w:divsChild>
                                        <w:div w:id="117189267">
                                          <w:marLeft w:val="0"/>
                                          <w:marRight w:val="0"/>
                                          <w:marTop w:val="0"/>
                                          <w:marBottom w:val="0"/>
                                          <w:divBdr>
                                            <w:top w:val="none" w:sz="0" w:space="0" w:color="auto"/>
                                            <w:left w:val="none" w:sz="0" w:space="0" w:color="auto"/>
                                            <w:bottom w:val="none" w:sz="0" w:space="0" w:color="auto"/>
                                            <w:right w:val="none" w:sz="0" w:space="0" w:color="auto"/>
                                          </w:divBdr>
                                          <w:divsChild>
                                            <w:div w:id="217284170">
                                              <w:marLeft w:val="0"/>
                                              <w:marRight w:val="0"/>
                                              <w:marTop w:val="0"/>
                                              <w:marBottom w:val="0"/>
                                              <w:divBdr>
                                                <w:top w:val="none" w:sz="0" w:space="0" w:color="auto"/>
                                                <w:left w:val="none" w:sz="0" w:space="0" w:color="auto"/>
                                                <w:bottom w:val="none" w:sz="0" w:space="0" w:color="auto"/>
                                                <w:right w:val="none" w:sz="0" w:space="0" w:color="auto"/>
                                              </w:divBdr>
                                              <w:divsChild>
                                                <w:div w:id="413285023">
                                                  <w:marLeft w:val="0"/>
                                                  <w:marRight w:val="0"/>
                                                  <w:marTop w:val="0"/>
                                                  <w:marBottom w:val="0"/>
                                                  <w:divBdr>
                                                    <w:top w:val="none" w:sz="0" w:space="0" w:color="auto"/>
                                                    <w:left w:val="none" w:sz="0" w:space="0" w:color="auto"/>
                                                    <w:bottom w:val="none" w:sz="0" w:space="0" w:color="auto"/>
                                                    <w:right w:val="none" w:sz="0" w:space="0" w:color="auto"/>
                                                  </w:divBdr>
                                                  <w:divsChild>
                                                    <w:div w:id="594561944">
                                                      <w:marLeft w:val="0"/>
                                                      <w:marRight w:val="0"/>
                                                      <w:marTop w:val="0"/>
                                                      <w:marBottom w:val="0"/>
                                                      <w:divBdr>
                                                        <w:top w:val="none" w:sz="0" w:space="0" w:color="auto"/>
                                                        <w:left w:val="none" w:sz="0" w:space="0" w:color="auto"/>
                                                        <w:bottom w:val="none" w:sz="0" w:space="0" w:color="auto"/>
                                                        <w:right w:val="none" w:sz="0" w:space="0" w:color="auto"/>
                                                      </w:divBdr>
                                                      <w:divsChild>
                                                        <w:div w:id="6835739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081207">
      <w:bodyDiv w:val="1"/>
      <w:marLeft w:val="0"/>
      <w:marRight w:val="0"/>
      <w:marTop w:val="0"/>
      <w:marBottom w:val="0"/>
      <w:divBdr>
        <w:top w:val="none" w:sz="0" w:space="0" w:color="auto"/>
        <w:left w:val="none" w:sz="0" w:space="0" w:color="auto"/>
        <w:bottom w:val="none" w:sz="0" w:space="0" w:color="auto"/>
        <w:right w:val="none" w:sz="0" w:space="0" w:color="auto"/>
      </w:divBdr>
    </w:div>
    <w:div w:id="636496437">
      <w:bodyDiv w:val="1"/>
      <w:marLeft w:val="0"/>
      <w:marRight w:val="0"/>
      <w:marTop w:val="0"/>
      <w:marBottom w:val="0"/>
      <w:divBdr>
        <w:top w:val="none" w:sz="0" w:space="0" w:color="auto"/>
        <w:left w:val="none" w:sz="0" w:space="0" w:color="auto"/>
        <w:bottom w:val="none" w:sz="0" w:space="0" w:color="auto"/>
        <w:right w:val="none" w:sz="0" w:space="0" w:color="auto"/>
      </w:divBdr>
    </w:div>
    <w:div w:id="670371954">
      <w:bodyDiv w:val="1"/>
      <w:marLeft w:val="0"/>
      <w:marRight w:val="0"/>
      <w:marTop w:val="0"/>
      <w:marBottom w:val="0"/>
      <w:divBdr>
        <w:top w:val="none" w:sz="0" w:space="0" w:color="auto"/>
        <w:left w:val="none" w:sz="0" w:space="0" w:color="auto"/>
        <w:bottom w:val="none" w:sz="0" w:space="0" w:color="auto"/>
        <w:right w:val="none" w:sz="0" w:space="0" w:color="auto"/>
      </w:divBdr>
    </w:div>
    <w:div w:id="766313254">
      <w:bodyDiv w:val="1"/>
      <w:marLeft w:val="0"/>
      <w:marRight w:val="0"/>
      <w:marTop w:val="0"/>
      <w:marBottom w:val="0"/>
      <w:divBdr>
        <w:top w:val="none" w:sz="0" w:space="0" w:color="auto"/>
        <w:left w:val="none" w:sz="0" w:space="0" w:color="auto"/>
        <w:bottom w:val="none" w:sz="0" w:space="0" w:color="auto"/>
        <w:right w:val="none" w:sz="0" w:space="0" w:color="auto"/>
      </w:divBdr>
      <w:divsChild>
        <w:div w:id="1935631545">
          <w:marLeft w:val="0"/>
          <w:marRight w:val="0"/>
          <w:marTop w:val="0"/>
          <w:marBottom w:val="0"/>
          <w:divBdr>
            <w:top w:val="none" w:sz="0" w:space="0" w:color="auto"/>
            <w:left w:val="none" w:sz="0" w:space="0" w:color="auto"/>
            <w:bottom w:val="none" w:sz="0" w:space="0" w:color="auto"/>
            <w:right w:val="none" w:sz="0" w:space="0" w:color="auto"/>
          </w:divBdr>
        </w:div>
      </w:divsChild>
    </w:div>
    <w:div w:id="1358314955">
      <w:bodyDiv w:val="1"/>
      <w:marLeft w:val="0"/>
      <w:marRight w:val="0"/>
      <w:marTop w:val="0"/>
      <w:marBottom w:val="0"/>
      <w:divBdr>
        <w:top w:val="none" w:sz="0" w:space="0" w:color="auto"/>
        <w:left w:val="none" w:sz="0" w:space="0" w:color="auto"/>
        <w:bottom w:val="none" w:sz="0" w:space="0" w:color="auto"/>
        <w:right w:val="none" w:sz="0" w:space="0" w:color="auto"/>
      </w:divBdr>
    </w:div>
    <w:div w:id="1431775627">
      <w:bodyDiv w:val="1"/>
      <w:marLeft w:val="0"/>
      <w:marRight w:val="0"/>
      <w:marTop w:val="0"/>
      <w:marBottom w:val="0"/>
      <w:divBdr>
        <w:top w:val="none" w:sz="0" w:space="0" w:color="auto"/>
        <w:left w:val="none" w:sz="0" w:space="0" w:color="auto"/>
        <w:bottom w:val="none" w:sz="0" w:space="0" w:color="auto"/>
        <w:right w:val="none" w:sz="0" w:space="0" w:color="auto"/>
      </w:divBdr>
    </w:div>
    <w:div w:id="1591741287">
      <w:bodyDiv w:val="1"/>
      <w:marLeft w:val="0"/>
      <w:marRight w:val="0"/>
      <w:marTop w:val="0"/>
      <w:marBottom w:val="0"/>
      <w:divBdr>
        <w:top w:val="none" w:sz="0" w:space="0" w:color="auto"/>
        <w:left w:val="none" w:sz="0" w:space="0" w:color="auto"/>
        <w:bottom w:val="none" w:sz="0" w:space="0" w:color="auto"/>
        <w:right w:val="none" w:sz="0" w:space="0" w:color="auto"/>
      </w:divBdr>
      <w:divsChild>
        <w:div w:id="657265054">
          <w:marLeft w:val="0"/>
          <w:marRight w:val="0"/>
          <w:marTop w:val="0"/>
          <w:marBottom w:val="0"/>
          <w:divBdr>
            <w:top w:val="none" w:sz="0" w:space="0" w:color="auto"/>
            <w:left w:val="none" w:sz="0" w:space="0" w:color="auto"/>
            <w:bottom w:val="none" w:sz="0" w:space="0" w:color="auto"/>
            <w:right w:val="none" w:sz="0" w:space="0" w:color="auto"/>
          </w:divBdr>
        </w:div>
      </w:divsChild>
    </w:div>
    <w:div w:id="1997877463">
      <w:bodyDiv w:val="1"/>
      <w:marLeft w:val="0"/>
      <w:marRight w:val="0"/>
      <w:marTop w:val="0"/>
      <w:marBottom w:val="0"/>
      <w:divBdr>
        <w:top w:val="none" w:sz="0" w:space="0" w:color="auto"/>
        <w:left w:val="none" w:sz="0" w:space="0" w:color="auto"/>
        <w:bottom w:val="none" w:sz="0" w:space="0" w:color="auto"/>
        <w:right w:val="none" w:sz="0" w:space="0" w:color="auto"/>
      </w:divBdr>
    </w:div>
    <w:div w:id="20186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R.B.K.C. Corporat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8AAB6-7BEE-4B13-AE46-3E020886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Tagg, Andrew: CS-Fin: RBKC</dc:creator>
  <cp:keywords/>
  <dc:description/>
  <cp:lastModifiedBy>Verma, Vik: CS-Fin: RBKC</cp:lastModifiedBy>
  <cp:revision>36</cp:revision>
  <cp:lastPrinted>2017-01-09T09:50:00Z</cp:lastPrinted>
  <dcterms:created xsi:type="dcterms:W3CDTF">2017-01-09T14:11:00Z</dcterms:created>
  <dcterms:modified xsi:type="dcterms:W3CDTF">2017-01-10T12:48:00Z</dcterms:modified>
</cp:coreProperties>
</file>