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27359" w14:textId="50A1CA26" w:rsidR="00111FFF" w:rsidRPr="00111FFF" w:rsidRDefault="00111FFF" w:rsidP="00111FFF">
      <w:pPr>
        <w:ind w:left="851" w:hanging="851"/>
        <w:jc w:val="right"/>
        <w:rPr>
          <w:rFonts w:ascii="Arial" w:eastAsia="Times New Roman" w:hAnsi="Arial" w:cs="Arial"/>
          <w:b/>
          <w:noProof/>
          <w:sz w:val="36"/>
          <w:szCs w:val="36"/>
          <w:lang w:val="en-US"/>
        </w:rPr>
      </w:pPr>
      <w:bookmarkStart w:id="0" w:name="_GoBack"/>
      <w:r w:rsidRPr="00111FFF">
        <w:rPr>
          <w:rFonts w:ascii="Arial" w:eastAsia="Times New Roman" w:hAnsi="Arial" w:cs="Arial"/>
          <w:b/>
          <w:noProof/>
          <w:sz w:val="36"/>
          <w:szCs w:val="36"/>
          <w:lang w:val="en-US"/>
        </w:rPr>
        <w:t>A6</w:t>
      </w:r>
    </w:p>
    <w:bookmarkEnd w:id="0"/>
    <w:p w14:paraId="5D829DAF" w14:textId="74A98D66" w:rsidR="00331C7B" w:rsidRPr="00FD7D6C" w:rsidRDefault="00331C7B" w:rsidP="00331C7B">
      <w:pPr>
        <w:ind w:left="851" w:hanging="851"/>
        <w:jc w:val="center"/>
        <w:rPr>
          <w:rFonts w:asciiTheme="minorHAnsi" w:eastAsia="Times New Roman" w:hAnsiTheme="minorHAnsi" w:cstheme="minorHAnsi"/>
          <w:b/>
          <w:noProof/>
          <w:lang w:val="en-US"/>
        </w:rPr>
      </w:pPr>
      <w:r w:rsidRPr="00FD7D6C">
        <w:rPr>
          <w:rFonts w:asciiTheme="minorHAnsi" w:eastAsia="Times New Roman" w:hAnsiTheme="minorHAnsi" w:cstheme="minorHAnsi"/>
          <w:b/>
          <w:noProof/>
          <w:lang w:val="en-US"/>
        </w:rPr>
        <w:t>WESTMINSTER CITY COUNCIL</w:t>
      </w:r>
    </w:p>
    <w:p w14:paraId="76E83A88" w14:textId="77777777" w:rsidR="00331C7B" w:rsidRPr="00FD7D6C" w:rsidRDefault="00331C7B" w:rsidP="00331C7B">
      <w:pPr>
        <w:ind w:left="851" w:hanging="851"/>
        <w:jc w:val="center"/>
        <w:rPr>
          <w:rFonts w:asciiTheme="minorHAnsi" w:eastAsia="Times New Roman" w:hAnsiTheme="minorHAnsi" w:cstheme="minorHAnsi"/>
          <w:b/>
          <w:noProof/>
          <w:lang w:val="en-US"/>
        </w:rPr>
      </w:pPr>
    </w:p>
    <w:p w14:paraId="461A6C31" w14:textId="4308D54B" w:rsidR="00331C7B" w:rsidRPr="00FD7D6C" w:rsidRDefault="00331C7B" w:rsidP="00331C7B">
      <w:pPr>
        <w:ind w:left="851" w:hanging="851"/>
        <w:jc w:val="center"/>
        <w:rPr>
          <w:rFonts w:asciiTheme="minorHAnsi" w:eastAsia="Times New Roman" w:hAnsiTheme="minorHAnsi" w:cstheme="minorHAnsi"/>
          <w:b/>
          <w:noProof/>
          <w:lang w:val="en-US"/>
        </w:rPr>
      </w:pPr>
      <w:r w:rsidRPr="00FD7D6C">
        <w:rPr>
          <w:rFonts w:asciiTheme="minorHAnsi" w:eastAsia="Times New Roman" w:hAnsiTheme="minorHAnsi" w:cstheme="minorHAnsi"/>
          <w:b/>
          <w:noProof/>
          <w:lang w:val="en-US"/>
        </w:rPr>
        <w:t xml:space="preserve">SCHOOLS’ FORUM </w:t>
      </w:r>
      <w:r w:rsidR="002F013C">
        <w:rPr>
          <w:rFonts w:asciiTheme="minorHAnsi" w:eastAsia="Times New Roman" w:hAnsiTheme="minorHAnsi" w:cstheme="minorHAnsi"/>
          <w:b/>
          <w:noProof/>
          <w:lang w:val="en-US"/>
        </w:rPr>
        <w:t>1st</w:t>
      </w:r>
      <w:r w:rsidRPr="00FD7D6C">
        <w:rPr>
          <w:rFonts w:asciiTheme="minorHAnsi" w:eastAsia="Times New Roman" w:hAnsiTheme="minorHAnsi" w:cstheme="minorHAnsi"/>
          <w:b/>
          <w:noProof/>
          <w:lang w:val="en-US"/>
        </w:rPr>
        <w:t xml:space="preserve"> JUNE 20</w:t>
      </w:r>
      <w:r w:rsidRPr="00FD7D6C">
        <w:rPr>
          <w:rFonts w:asciiTheme="minorHAnsi" w:hAnsiTheme="minorHAnsi" w:cstheme="minorHAnsi"/>
          <w:b/>
          <w:color w:val="000000"/>
        </w:rPr>
        <w:t>20</w:t>
      </w:r>
    </w:p>
    <w:p w14:paraId="7EB56625" w14:textId="77777777" w:rsidR="00331C7B" w:rsidRPr="00FD7D6C" w:rsidRDefault="00331C7B" w:rsidP="00331C7B">
      <w:pPr>
        <w:ind w:left="851" w:hanging="851"/>
        <w:jc w:val="center"/>
        <w:rPr>
          <w:rFonts w:asciiTheme="minorHAnsi" w:eastAsia="Times New Roman" w:hAnsiTheme="minorHAnsi" w:cstheme="minorHAnsi"/>
          <w:b/>
          <w:noProof/>
          <w:lang w:val="en-US"/>
        </w:rPr>
      </w:pPr>
    </w:p>
    <w:p w14:paraId="3DC88078" w14:textId="554443A8" w:rsidR="00331C7B" w:rsidRPr="00FD7D6C" w:rsidRDefault="00331C7B" w:rsidP="00331C7B">
      <w:pPr>
        <w:jc w:val="center"/>
        <w:rPr>
          <w:rFonts w:asciiTheme="minorHAnsi" w:hAnsiTheme="minorHAnsi" w:cstheme="minorHAnsi"/>
          <w:b/>
        </w:rPr>
      </w:pPr>
      <w:r w:rsidRPr="00FD7D6C">
        <w:rPr>
          <w:rFonts w:asciiTheme="minorHAnsi" w:hAnsiTheme="minorHAnsi" w:cstheme="minorHAnsi"/>
          <w:b/>
        </w:rPr>
        <w:t xml:space="preserve">STRATEGIC REVIEW OF SCHOOLS </w:t>
      </w:r>
      <w:r w:rsidR="007A6E92" w:rsidRPr="00FD7D6C">
        <w:rPr>
          <w:rFonts w:asciiTheme="minorHAnsi" w:hAnsiTheme="minorHAnsi" w:cstheme="minorHAnsi"/>
          <w:b/>
        </w:rPr>
        <w:t>FINANCES AND PUPIL PROJECTIONS</w:t>
      </w:r>
    </w:p>
    <w:p w14:paraId="04946EF4" w14:textId="4D713685" w:rsidR="00331C7B" w:rsidRPr="007A6E92" w:rsidRDefault="00331C7B" w:rsidP="00331C7B">
      <w:pPr>
        <w:jc w:val="center"/>
        <w:rPr>
          <w:rFonts w:asciiTheme="minorHAnsi" w:hAnsiTheme="minorHAnsi" w:cstheme="minorHAnsi"/>
          <w:b/>
          <w:sz w:val="22"/>
          <w:szCs w:val="22"/>
        </w:rPr>
      </w:pPr>
    </w:p>
    <w:p w14:paraId="0B4568C8" w14:textId="00D179AE" w:rsidR="00331C7B" w:rsidRPr="007A6E92" w:rsidRDefault="00331C7B" w:rsidP="00331C7B">
      <w:pPr>
        <w:jc w:val="center"/>
        <w:rPr>
          <w:rFonts w:asciiTheme="minorHAnsi" w:hAnsiTheme="minorHAnsi" w:cstheme="minorHAnsi"/>
          <w:b/>
          <w:sz w:val="22"/>
          <w:szCs w:val="22"/>
        </w:rPr>
      </w:pPr>
    </w:p>
    <w:p w14:paraId="7F35C473" w14:textId="4648E4DD" w:rsidR="00331C7B" w:rsidRPr="00907B0F" w:rsidRDefault="00331C7B" w:rsidP="00331C7B">
      <w:pPr>
        <w:pStyle w:val="ListParagraph"/>
        <w:numPr>
          <w:ilvl w:val="0"/>
          <w:numId w:val="2"/>
        </w:numPr>
        <w:rPr>
          <w:rFonts w:asciiTheme="minorHAnsi" w:hAnsiTheme="minorHAnsi" w:cstheme="minorHAnsi"/>
          <w:b/>
        </w:rPr>
      </w:pPr>
      <w:r w:rsidRPr="00907B0F">
        <w:rPr>
          <w:rFonts w:asciiTheme="minorHAnsi" w:hAnsiTheme="minorHAnsi" w:cstheme="minorHAnsi"/>
          <w:b/>
        </w:rPr>
        <w:t>Background</w:t>
      </w:r>
    </w:p>
    <w:p w14:paraId="2B53BB65" w14:textId="2995757D" w:rsidR="00331C7B" w:rsidRPr="00907B0F" w:rsidRDefault="00331C7B" w:rsidP="00331C7B">
      <w:pPr>
        <w:rPr>
          <w:rFonts w:asciiTheme="minorHAnsi" w:hAnsiTheme="minorHAnsi" w:cstheme="minorHAnsi"/>
          <w:b/>
        </w:rPr>
      </w:pPr>
    </w:p>
    <w:p w14:paraId="20C55376" w14:textId="5284973D" w:rsidR="00331C7B" w:rsidRPr="00907B0F" w:rsidRDefault="00331C7B" w:rsidP="00942BAF">
      <w:pPr>
        <w:autoSpaceDE w:val="0"/>
        <w:autoSpaceDN w:val="0"/>
        <w:adjustRightInd w:val="0"/>
        <w:spacing w:line="276" w:lineRule="auto"/>
        <w:ind w:left="720" w:right="96" w:hanging="720"/>
        <w:jc w:val="both"/>
        <w:rPr>
          <w:rFonts w:asciiTheme="minorHAnsi" w:hAnsiTheme="minorHAnsi" w:cstheme="minorHAnsi"/>
          <w:color w:val="000000"/>
          <w:lang w:eastAsia="en-GB"/>
        </w:rPr>
      </w:pPr>
      <w:r w:rsidRPr="00907B0F">
        <w:rPr>
          <w:rFonts w:asciiTheme="minorHAnsi" w:hAnsiTheme="minorHAnsi" w:cstheme="minorHAnsi"/>
          <w:bCs/>
        </w:rPr>
        <w:t>1.1</w:t>
      </w:r>
      <w:r w:rsidRPr="00907B0F">
        <w:rPr>
          <w:rFonts w:asciiTheme="minorHAnsi" w:hAnsiTheme="minorHAnsi" w:cstheme="minorHAnsi"/>
          <w:bCs/>
        </w:rPr>
        <w:tab/>
      </w:r>
      <w:r w:rsidRPr="00907B0F">
        <w:rPr>
          <w:rFonts w:asciiTheme="minorHAnsi" w:hAnsiTheme="minorHAnsi" w:cstheme="minorHAnsi"/>
          <w:color w:val="000000"/>
          <w:lang w:eastAsia="en-GB"/>
        </w:rPr>
        <w:t xml:space="preserve">The function of Place Planning is essential to ensure sufficiency of places to allow for parental choice and movement across schools. Westminster, and </w:t>
      </w:r>
      <w:proofErr w:type="gramStart"/>
      <w:r w:rsidRPr="00907B0F">
        <w:rPr>
          <w:rFonts w:asciiTheme="minorHAnsi" w:hAnsiTheme="minorHAnsi" w:cstheme="minorHAnsi"/>
          <w:color w:val="000000"/>
          <w:lang w:eastAsia="en-GB"/>
        </w:rPr>
        <w:t>the majority of</w:t>
      </w:r>
      <w:proofErr w:type="gramEnd"/>
      <w:r w:rsidRPr="00907B0F">
        <w:rPr>
          <w:rFonts w:asciiTheme="minorHAnsi" w:hAnsiTheme="minorHAnsi" w:cstheme="minorHAnsi"/>
          <w:color w:val="000000"/>
          <w:lang w:eastAsia="en-GB"/>
        </w:rPr>
        <w:t xml:space="preserve"> London boroughs, subscribe to the Greater London Authority’s (GLA) School Roll Projections (SRP) GLA for its pupil projections.  Projections are based on current school rolls, historical trends, cross border mobility, birth rates and approved housing developments. Whilst projections provide a technical indication for the future, when looking beyond four to five years, there will be unforeseen elements to school place planning that cannot be predicted or factored in. These could be changes in popularity of schools in and out of borough, and/or changes in central government policy that that may impact on import/export of local population, e.g. Universal Credit and Brexit.   </w:t>
      </w:r>
    </w:p>
    <w:p w14:paraId="0D5653A2" w14:textId="77777777" w:rsidR="00331C7B" w:rsidRPr="00907B0F" w:rsidRDefault="00331C7B" w:rsidP="00331C7B">
      <w:pPr>
        <w:autoSpaceDE w:val="0"/>
        <w:autoSpaceDN w:val="0"/>
        <w:adjustRightInd w:val="0"/>
        <w:ind w:left="720" w:right="95" w:hanging="720"/>
        <w:jc w:val="both"/>
        <w:rPr>
          <w:rFonts w:asciiTheme="minorHAnsi" w:hAnsiTheme="minorHAnsi" w:cstheme="minorHAnsi"/>
          <w:color w:val="000000"/>
          <w:lang w:eastAsia="en-GB"/>
        </w:rPr>
      </w:pPr>
    </w:p>
    <w:p w14:paraId="660855E9" w14:textId="5EE51AC3" w:rsidR="00331C7B" w:rsidRDefault="00331C7B" w:rsidP="00331C7B">
      <w:pPr>
        <w:spacing w:after="240" w:line="276" w:lineRule="auto"/>
        <w:ind w:left="720" w:hanging="720"/>
        <w:jc w:val="both"/>
        <w:rPr>
          <w:rFonts w:asciiTheme="minorHAnsi" w:hAnsiTheme="minorHAnsi" w:cstheme="minorHAnsi"/>
        </w:rPr>
      </w:pPr>
      <w:r w:rsidRPr="00907B0F">
        <w:rPr>
          <w:rFonts w:asciiTheme="minorHAnsi" w:hAnsiTheme="minorHAnsi" w:cstheme="minorHAnsi"/>
          <w:color w:val="000000"/>
          <w:lang w:eastAsia="en-GB"/>
        </w:rPr>
        <w:t>1.2</w:t>
      </w:r>
      <w:r w:rsidRPr="00907B0F">
        <w:rPr>
          <w:rFonts w:asciiTheme="minorHAnsi" w:hAnsiTheme="minorHAnsi" w:cstheme="minorHAnsi"/>
          <w:color w:val="000000"/>
          <w:lang w:eastAsia="en-GB"/>
        </w:rPr>
        <w:tab/>
      </w:r>
      <w:r w:rsidRPr="00907B0F">
        <w:rPr>
          <w:rFonts w:asciiTheme="minorHAnsi" w:hAnsiTheme="minorHAnsi" w:cstheme="minorHAnsi"/>
        </w:rPr>
        <w:t xml:space="preserve">Further action is needed to not only further reduce overall primary capacity, but also to address the financial viability of schools that are either in deficit or soon will be. Careful thought and consideration must however be applied before permanently removing any education provision that cannot be re-instated if demand then materialises as a result of affordable/social housing developments. </w:t>
      </w:r>
    </w:p>
    <w:p w14:paraId="2C72BFD7" w14:textId="4BEF7424" w:rsidR="005F1DB5" w:rsidRDefault="005F1DB5" w:rsidP="005F1DB5">
      <w:pPr>
        <w:spacing w:after="240" w:line="276" w:lineRule="auto"/>
        <w:ind w:left="720" w:hanging="720"/>
        <w:jc w:val="both"/>
        <w:rPr>
          <w:rFonts w:asciiTheme="minorHAnsi" w:hAnsiTheme="minorHAnsi" w:cstheme="minorHAnsi"/>
          <w:color w:val="000000"/>
          <w:lang w:eastAsia="en-GB"/>
        </w:rPr>
      </w:pPr>
      <w:r>
        <w:rPr>
          <w:rFonts w:asciiTheme="minorHAnsi" w:hAnsiTheme="minorHAnsi" w:cstheme="minorHAnsi"/>
          <w:color w:val="000000"/>
          <w:lang w:eastAsia="en-GB"/>
        </w:rPr>
        <w:t>1.3</w:t>
      </w:r>
      <w:r>
        <w:rPr>
          <w:rFonts w:asciiTheme="minorHAnsi" w:hAnsiTheme="minorHAnsi" w:cstheme="minorHAnsi"/>
          <w:color w:val="000000"/>
          <w:lang w:eastAsia="en-GB"/>
        </w:rPr>
        <w:tab/>
        <w:t>The table shows the decline in pupil numbers of 331 since 2017, however the impact on primary schools has seen a reduction of 1,040 offset by an increase in the secondary sector of 709.</w:t>
      </w:r>
      <w:r>
        <w:rPr>
          <w:rFonts w:asciiTheme="minorHAnsi" w:hAnsiTheme="minorHAnsi" w:cstheme="minorHAnsi"/>
          <w:color w:val="000000"/>
          <w:lang w:eastAsia="en-GB"/>
        </w:rPr>
        <w:tab/>
      </w:r>
    </w:p>
    <w:tbl>
      <w:tblPr>
        <w:tblStyle w:val="TableGrid"/>
        <w:tblW w:w="8347" w:type="dxa"/>
        <w:tblInd w:w="720" w:type="dxa"/>
        <w:tblLayout w:type="fixed"/>
        <w:tblLook w:val="04A0" w:firstRow="1" w:lastRow="0" w:firstColumn="1" w:lastColumn="0" w:noHBand="0" w:noVBand="1"/>
      </w:tblPr>
      <w:tblGrid>
        <w:gridCol w:w="1348"/>
        <w:gridCol w:w="1159"/>
        <w:gridCol w:w="1157"/>
        <w:gridCol w:w="1157"/>
        <w:gridCol w:w="1158"/>
        <w:gridCol w:w="2368"/>
      </w:tblGrid>
      <w:tr w:rsidR="005F1DB5" w14:paraId="3A097B6B" w14:textId="3CE6B68F" w:rsidTr="005F1DB5">
        <w:tc>
          <w:tcPr>
            <w:tcW w:w="1348" w:type="dxa"/>
          </w:tcPr>
          <w:p w14:paraId="06132698" w14:textId="1AB0D432" w:rsidR="005F1DB5" w:rsidRPr="005F1DB5" w:rsidRDefault="005F1DB5" w:rsidP="005F1DB5">
            <w:pPr>
              <w:spacing w:after="240" w:line="276" w:lineRule="auto"/>
              <w:jc w:val="both"/>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Years</w:t>
            </w:r>
          </w:p>
        </w:tc>
        <w:tc>
          <w:tcPr>
            <w:tcW w:w="1159" w:type="dxa"/>
          </w:tcPr>
          <w:p w14:paraId="27BC452D" w14:textId="684C9BA3" w:rsidR="005F1DB5" w:rsidRPr="005F1DB5" w:rsidRDefault="005F1DB5" w:rsidP="005F1DB5">
            <w:pPr>
              <w:spacing w:after="240" w:line="276" w:lineRule="auto"/>
              <w:jc w:val="center"/>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2017</w:t>
            </w:r>
          </w:p>
        </w:tc>
        <w:tc>
          <w:tcPr>
            <w:tcW w:w="1157" w:type="dxa"/>
          </w:tcPr>
          <w:p w14:paraId="7CB68C69" w14:textId="7C52A878" w:rsidR="005F1DB5" w:rsidRPr="005F1DB5" w:rsidRDefault="005F1DB5" w:rsidP="005F1DB5">
            <w:pPr>
              <w:spacing w:after="240" w:line="276" w:lineRule="auto"/>
              <w:jc w:val="center"/>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2018</w:t>
            </w:r>
          </w:p>
        </w:tc>
        <w:tc>
          <w:tcPr>
            <w:tcW w:w="1157" w:type="dxa"/>
          </w:tcPr>
          <w:p w14:paraId="023599C6" w14:textId="0290DAEA" w:rsidR="005F1DB5" w:rsidRPr="005F1DB5" w:rsidRDefault="005F1DB5" w:rsidP="005F1DB5">
            <w:pPr>
              <w:spacing w:after="240" w:line="276" w:lineRule="auto"/>
              <w:jc w:val="center"/>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2019</w:t>
            </w:r>
          </w:p>
        </w:tc>
        <w:tc>
          <w:tcPr>
            <w:tcW w:w="1158" w:type="dxa"/>
          </w:tcPr>
          <w:p w14:paraId="5D58FDB2" w14:textId="1179B8E6" w:rsidR="005F1DB5" w:rsidRPr="005F1DB5" w:rsidRDefault="005F1DB5" w:rsidP="005F1DB5">
            <w:pPr>
              <w:spacing w:after="240" w:line="276" w:lineRule="auto"/>
              <w:jc w:val="center"/>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2020</w:t>
            </w:r>
          </w:p>
        </w:tc>
        <w:tc>
          <w:tcPr>
            <w:tcW w:w="2368" w:type="dxa"/>
          </w:tcPr>
          <w:p w14:paraId="79F66CD4" w14:textId="49650BFD" w:rsidR="005F1DB5" w:rsidRPr="005F1DB5" w:rsidRDefault="005F1DB5" w:rsidP="005F1DB5">
            <w:pPr>
              <w:spacing w:after="240" w:line="276" w:lineRule="auto"/>
              <w:jc w:val="both"/>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Increase</w:t>
            </w:r>
            <w:r>
              <w:rPr>
                <w:rFonts w:asciiTheme="minorHAnsi" w:hAnsiTheme="minorHAnsi" w:cstheme="minorHAnsi"/>
                <w:b/>
                <w:bCs/>
                <w:color w:val="000000"/>
                <w:lang w:eastAsia="en-GB"/>
              </w:rPr>
              <w:t>/(Reduction)</w:t>
            </w:r>
          </w:p>
        </w:tc>
      </w:tr>
      <w:tr w:rsidR="005F1DB5" w14:paraId="7FE250AD" w14:textId="7DBA075C" w:rsidTr="005F1DB5">
        <w:tc>
          <w:tcPr>
            <w:tcW w:w="1348" w:type="dxa"/>
          </w:tcPr>
          <w:p w14:paraId="18D09BFA" w14:textId="2F94A44C" w:rsidR="005F1DB5" w:rsidRDefault="005F1DB5" w:rsidP="005F1DB5">
            <w:pPr>
              <w:spacing w:after="240" w:line="276" w:lineRule="auto"/>
              <w:jc w:val="both"/>
              <w:rPr>
                <w:rFonts w:asciiTheme="minorHAnsi" w:hAnsiTheme="minorHAnsi" w:cstheme="minorHAnsi"/>
                <w:color w:val="000000"/>
                <w:lang w:eastAsia="en-GB"/>
              </w:rPr>
            </w:pPr>
            <w:r>
              <w:rPr>
                <w:rFonts w:asciiTheme="minorHAnsi" w:hAnsiTheme="minorHAnsi" w:cstheme="minorHAnsi"/>
                <w:color w:val="000000"/>
                <w:lang w:eastAsia="en-GB"/>
              </w:rPr>
              <w:t>Primary</w:t>
            </w:r>
          </w:p>
        </w:tc>
        <w:tc>
          <w:tcPr>
            <w:tcW w:w="1159" w:type="dxa"/>
          </w:tcPr>
          <w:p w14:paraId="15FC9313" w14:textId="54B4E7D9"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10,472</w:t>
            </w:r>
          </w:p>
        </w:tc>
        <w:tc>
          <w:tcPr>
            <w:tcW w:w="1157" w:type="dxa"/>
          </w:tcPr>
          <w:p w14:paraId="15A2FDCC" w14:textId="4AEAD316"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10,179</w:t>
            </w:r>
          </w:p>
        </w:tc>
        <w:tc>
          <w:tcPr>
            <w:tcW w:w="1157" w:type="dxa"/>
          </w:tcPr>
          <w:p w14:paraId="28EF2FF0" w14:textId="3800CCA3"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9,721</w:t>
            </w:r>
          </w:p>
        </w:tc>
        <w:tc>
          <w:tcPr>
            <w:tcW w:w="1158" w:type="dxa"/>
          </w:tcPr>
          <w:p w14:paraId="7B0EBFD5" w14:textId="1B7474E7"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9,432</w:t>
            </w:r>
          </w:p>
        </w:tc>
        <w:tc>
          <w:tcPr>
            <w:tcW w:w="2368" w:type="dxa"/>
          </w:tcPr>
          <w:p w14:paraId="64B9487C" w14:textId="5F885989"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(1,040)</w:t>
            </w:r>
          </w:p>
        </w:tc>
      </w:tr>
      <w:tr w:rsidR="005F1DB5" w14:paraId="3A07B72E" w14:textId="331EA4D3" w:rsidTr="005F1DB5">
        <w:tc>
          <w:tcPr>
            <w:tcW w:w="1348" w:type="dxa"/>
          </w:tcPr>
          <w:p w14:paraId="283DF842" w14:textId="4C9E43CF" w:rsidR="005F1DB5" w:rsidRDefault="005F1DB5" w:rsidP="005F1DB5">
            <w:pPr>
              <w:spacing w:after="240" w:line="276" w:lineRule="auto"/>
              <w:jc w:val="both"/>
              <w:rPr>
                <w:rFonts w:asciiTheme="minorHAnsi" w:hAnsiTheme="minorHAnsi" w:cstheme="minorHAnsi"/>
                <w:color w:val="000000"/>
                <w:lang w:eastAsia="en-GB"/>
              </w:rPr>
            </w:pPr>
            <w:r>
              <w:rPr>
                <w:rFonts w:asciiTheme="minorHAnsi" w:hAnsiTheme="minorHAnsi" w:cstheme="minorHAnsi"/>
                <w:color w:val="000000"/>
                <w:lang w:eastAsia="en-GB"/>
              </w:rPr>
              <w:t>Secondary</w:t>
            </w:r>
          </w:p>
        </w:tc>
        <w:tc>
          <w:tcPr>
            <w:tcW w:w="1159" w:type="dxa"/>
          </w:tcPr>
          <w:p w14:paraId="6C69B5BE" w14:textId="14E9105E"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8,259</w:t>
            </w:r>
          </w:p>
        </w:tc>
        <w:tc>
          <w:tcPr>
            <w:tcW w:w="1157" w:type="dxa"/>
          </w:tcPr>
          <w:p w14:paraId="2E6E3BF3" w14:textId="69250DDF"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8,579</w:t>
            </w:r>
          </w:p>
        </w:tc>
        <w:tc>
          <w:tcPr>
            <w:tcW w:w="1157" w:type="dxa"/>
          </w:tcPr>
          <w:p w14:paraId="55FEB1EB" w14:textId="76D5BA01"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8,732</w:t>
            </w:r>
          </w:p>
        </w:tc>
        <w:tc>
          <w:tcPr>
            <w:tcW w:w="1158" w:type="dxa"/>
          </w:tcPr>
          <w:p w14:paraId="26FC59A4" w14:textId="4E7609D3"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8,968</w:t>
            </w:r>
          </w:p>
        </w:tc>
        <w:tc>
          <w:tcPr>
            <w:tcW w:w="2368" w:type="dxa"/>
          </w:tcPr>
          <w:p w14:paraId="39A5FC15" w14:textId="4FD9974E" w:rsidR="005F1DB5" w:rsidRDefault="005F1DB5" w:rsidP="005F1DB5">
            <w:pPr>
              <w:spacing w:after="240" w:line="276" w:lineRule="auto"/>
              <w:jc w:val="center"/>
              <w:rPr>
                <w:rFonts w:asciiTheme="minorHAnsi" w:hAnsiTheme="minorHAnsi" w:cstheme="minorHAnsi"/>
                <w:color w:val="000000"/>
                <w:lang w:eastAsia="en-GB"/>
              </w:rPr>
            </w:pPr>
            <w:r>
              <w:rPr>
                <w:rFonts w:asciiTheme="minorHAnsi" w:hAnsiTheme="minorHAnsi" w:cstheme="minorHAnsi"/>
                <w:color w:val="000000"/>
                <w:lang w:eastAsia="en-GB"/>
              </w:rPr>
              <w:t>709</w:t>
            </w:r>
          </w:p>
        </w:tc>
      </w:tr>
      <w:tr w:rsidR="005F1DB5" w14:paraId="4BFA5D87" w14:textId="2FC48BC5" w:rsidTr="005F1DB5">
        <w:tc>
          <w:tcPr>
            <w:tcW w:w="1348" w:type="dxa"/>
          </w:tcPr>
          <w:p w14:paraId="550B27F1" w14:textId="27CAAA99" w:rsidR="005F1DB5" w:rsidRPr="005F1DB5" w:rsidRDefault="005F1DB5" w:rsidP="005F1DB5">
            <w:pPr>
              <w:spacing w:after="240" w:line="276" w:lineRule="auto"/>
              <w:jc w:val="both"/>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Total</w:t>
            </w:r>
          </w:p>
        </w:tc>
        <w:tc>
          <w:tcPr>
            <w:tcW w:w="1159" w:type="dxa"/>
          </w:tcPr>
          <w:p w14:paraId="2808264A" w14:textId="0F6BDAB8" w:rsidR="005F1DB5" w:rsidRPr="005F1DB5" w:rsidRDefault="005F1DB5" w:rsidP="005F1DB5">
            <w:pPr>
              <w:spacing w:after="240" w:line="276" w:lineRule="auto"/>
              <w:jc w:val="center"/>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18,731</w:t>
            </w:r>
          </w:p>
        </w:tc>
        <w:tc>
          <w:tcPr>
            <w:tcW w:w="1157" w:type="dxa"/>
          </w:tcPr>
          <w:p w14:paraId="5BB1A146" w14:textId="755E246C" w:rsidR="005F1DB5" w:rsidRPr="005F1DB5" w:rsidRDefault="005F1DB5" w:rsidP="005F1DB5">
            <w:pPr>
              <w:spacing w:after="240" w:line="276" w:lineRule="auto"/>
              <w:jc w:val="center"/>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18,758</w:t>
            </w:r>
          </w:p>
        </w:tc>
        <w:tc>
          <w:tcPr>
            <w:tcW w:w="1157" w:type="dxa"/>
          </w:tcPr>
          <w:p w14:paraId="4884E3B4" w14:textId="45B1C148" w:rsidR="005F1DB5" w:rsidRPr="005F1DB5" w:rsidRDefault="005F1DB5" w:rsidP="005F1DB5">
            <w:pPr>
              <w:spacing w:after="240" w:line="276" w:lineRule="auto"/>
              <w:jc w:val="center"/>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18,453</w:t>
            </w:r>
          </w:p>
        </w:tc>
        <w:tc>
          <w:tcPr>
            <w:tcW w:w="1158" w:type="dxa"/>
          </w:tcPr>
          <w:p w14:paraId="2D205219" w14:textId="5382364D" w:rsidR="005F1DB5" w:rsidRPr="005F1DB5" w:rsidRDefault="005F1DB5" w:rsidP="005F1DB5">
            <w:pPr>
              <w:spacing w:after="240" w:line="276" w:lineRule="auto"/>
              <w:jc w:val="center"/>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18,400</w:t>
            </w:r>
          </w:p>
        </w:tc>
        <w:tc>
          <w:tcPr>
            <w:tcW w:w="2368" w:type="dxa"/>
          </w:tcPr>
          <w:p w14:paraId="2232CBC0" w14:textId="5C4747A8" w:rsidR="005F1DB5" w:rsidRPr="005F1DB5" w:rsidRDefault="005F1DB5" w:rsidP="005F1DB5">
            <w:pPr>
              <w:spacing w:after="240" w:line="276" w:lineRule="auto"/>
              <w:jc w:val="center"/>
              <w:rPr>
                <w:rFonts w:asciiTheme="minorHAnsi" w:hAnsiTheme="minorHAnsi" w:cstheme="minorHAnsi"/>
                <w:b/>
                <w:bCs/>
                <w:color w:val="000000"/>
                <w:lang w:eastAsia="en-GB"/>
              </w:rPr>
            </w:pPr>
            <w:r w:rsidRPr="005F1DB5">
              <w:rPr>
                <w:rFonts w:asciiTheme="minorHAnsi" w:hAnsiTheme="minorHAnsi" w:cstheme="minorHAnsi"/>
                <w:b/>
                <w:bCs/>
                <w:color w:val="000000"/>
                <w:lang w:eastAsia="en-GB"/>
              </w:rPr>
              <w:t>331</w:t>
            </w:r>
          </w:p>
        </w:tc>
      </w:tr>
    </w:tbl>
    <w:p w14:paraId="451AE8A9" w14:textId="77777777" w:rsidR="005F1DB5" w:rsidRDefault="005F1DB5" w:rsidP="005F1DB5">
      <w:pPr>
        <w:spacing w:after="240" w:line="276" w:lineRule="auto"/>
        <w:ind w:left="720" w:hanging="720"/>
        <w:jc w:val="both"/>
        <w:rPr>
          <w:rFonts w:asciiTheme="minorHAnsi" w:hAnsiTheme="minorHAnsi" w:cstheme="minorHAnsi"/>
          <w:color w:val="000000"/>
          <w:lang w:eastAsia="en-GB"/>
        </w:rPr>
      </w:pPr>
    </w:p>
    <w:p w14:paraId="458EE1A9" w14:textId="7B824AEE" w:rsidR="00331C7B" w:rsidRPr="00907B0F" w:rsidRDefault="00331C7B" w:rsidP="00942BAF">
      <w:pPr>
        <w:pStyle w:val="paragraph"/>
        <w:spacing w:line="276" w:lineRule="auto"/>
        <w:ind w:left="720" w:hanging="720"/>
        <w:jc w:val="both"/>
        <w:textAlignment w:val="baseline"/>
        <w:rPr>
          <w:rFonts w:asciiTheme="minorHAnsi" w:eastAsiaTheme="minorHAnsi" w:hAnsiTheme="minorHAnsi" w:cstheme="minorHAnsi"/>
          <w:bCs/>
        </w:rPr>
      </w:pPr>
      <w:r w:rsidRPr="00907B0F">
        <w:rPr>
          <w:rFonts w:asciiTheme="minorHAnsi" w:hAnsiTheme="minorHAnsi" w:cstheme="minorHAnsi"/>
        </w:rPr>
        <w:t>1.</w:t>
      </w:r>
      <w:r w:rsidR="005F1DB5">
        <w:rPr>
          <w:rFonts w:asciiTheme="minorHAnsi" w:hAnsiTheme="minorHAnsi" w:cstheme="minorHAnsi"/>
        </w:rPr>
        <w:t>4</w:t>
      </w:r>
      <w:r w:rsidRPr="00907B0F">
        <w:rPr>
          <w:rFonts w:asciiTheme="minorHAnsi" w:hAnsiTheme="minorHAnsi" w:cstheme="minorHAnsi"/>
        </w:rPr>
        <w:tab/>
        <w:t>Since September 2018, almost 6 forms of entry have been removed from primary provision to address the increasing surplus</w:t>
      </w:r>
      <w:r w:rsidRPr="00907B0F">
        <w:rPr>
          <w:rFonts w:asciiTheme="minorHAnsi" w:eastAsiaTheme="minorHAnsi" w:hAnsiTheme="minorHAnsi" w:cstheme="minorHAnsi"/>
          <w:bCs/>
        </w:rPr>
        <w:t xml:space="preserve">. </w:t>
      </w:r>
      <w:r w:rsidR="007A6E92" w:rsidRPr="00907B0F">
        <w:rPr>
          <w:rFonts w:asciiTheme="minorHAnsi" w:eastAsiaTheme="minorHAnsi" w:hAnsiTheme="minorHAnsi" w:cstheme="minorHAnsi"/>
          <w:bCs/>
        </w:rPr>
        <w:t xml:space="preserve">Population trends suggest further </w:t>
      </w:r>
      <w:r w:rsidR="007A6E92" w:rsidRPr="00907B0F">
        <w:rPr>
          <w:rFonts w:asciiTheme="minorHAnsi" w:eastAsiaTheme="minorHAnsi" w:hAnsiTheme="minorHAnsi" w:cstheme="minorHAnsi"/>
          <w:bCs/>
        </w:rPr>
        <w:lastRenderedPageBreak/>
        <w:t xml:space="preserve">reductions to pupil admission numbers in primary school and </w:t>
      </w:r>
      <w:proofErr w:type="gramStart"/>
      <w:r w:rsidR="007A6E92" w:rsidRPr="00907B0F">
        <w:rPr>
          <w:rFonts w:asciiTheme="minorHAnsi" w:eastAsiaTheme="minorHAnsi" w:hAnsiTheme="minorHAnsi" w:cstheme="minorHAnsi"/>
          <w:bCs/>
        </w:rPr>
        <w:t>longer</w:t>
      </w:r>
      <w:r w:rsidR="00FD7D6C">
        <w:rPr>
          <w:rFonts w:asciiTheme="minorHAnsi" w:eastAsiaTheme="minorHAnsi" w:hAnsiTheme="minorHAnsi" w:cstheme="minorHAnsi"/>
          <w:bCs/>
        </w:rPr>
        <w:t xml:space="preserve"> </w:t>
      </w:r>
      <w:r w:rsidR="007A6E92" w:rsidRPr="00907B0F">
        <w:rPr>
          <w:rFonts w:asciiTheme="minorHAnsi" w:eastAsiaTheme="minorHAnsi" w:hAnsiTheme="minorHAnsi" w:cstheme="minorHAnsi"/>
          <w:bCs/>
        </w:rPr>
        <w:t>term</w:t>
      </w:r>
      <w:proofErr w:type="gramEnd"/>
      <w:r w:rsidR="007A6E92" w:rsidRPr="00907B0F">
        <w:rPr>
          <w:rFonts w:asciiTheme="minorHAnsi" w:eastAsiaTheme="minorHAnsi" w:hAnsiTheme="minorHAnsi" w:cstheme="minorHAnsi"/>
          <w:bCs/>
        </w:rPr>
        <w:t xml:space="preserve"> impact on secondary schools</w:t>
      </w:r>
      <w:r w:rsidR="005F1DB5">
        <w:rPr>
          <w:rFonts w:asciiTheme="minorHAnsi" w:eastAsiaTheme="minorHAnsi" w:hAnsiTheme="minorHAnsi" w:cstheme="minorHAnsi"/>
          <w:bCs/>
        </w:rPr>
        <w:t>.</w:t>
      </w:r>
    </w:p>
    <w:p w14:paraId="0780ACFD" w14:textId="6E791CAE" w:rsidR="00331C7B" w:rsidRPr="00907B0F" w:rsidRDefault="00331C7B" w:rsidP="00942BAF">
      <w:pPr>
        <w:pStyle w:val="paragraph"/>
        <w:spacing w:line="276" w:lineRule="auto"/>
        <w:ind w:left="720" w:hanging="720"/>
        <w:jc w:val="both"/>
        <w:textAlignment w:val="baseline"/>
        <w:rPr>
          <w:rFonts w:asciiTheme="minorHAnsi" w:eastAsiaTheme="minorHAnsi" w:hAnsiTheme="minorHAnsi" w:cstheme="minorHAnsi"/>
          <w:bCs/>
        </w:rPr>
      </w:pPr>
    </w:p>
    <w:p w14:paraId="1A09265F" w14:textId="1A1F6BCB" w:rsidR="009C32B8" w:rsidRPr="009C32B8" w:rsidRDefault="007A6E92" w:rsidP="00942BAF">
      <w:pPr>
        <w:spacing w:line="276" w:lineRule="auto"/>
        <w:ind w:left="720" w:hanging="720"/>
        <w:jc w:val="both"/>
        <w:rPr>
          <w:rFonts w:asciiTheme="minorHAnsi" w:hAnsiTheme="minorHAnsi" w:cstheme="minorHAnsi"/>
          <w:b/>
          <w:bCs/>
        </w:rPr>
      </w:pPr>
      <w:r w:rsidRPr="00907B0F">
        <w:rPr>
          <w:rFonts w:asciiTheme="minorHAnsi" w:hAnsiTheme="minorHAnsi" w:cstheme="minorHAnsi"/>
        </w:rPr>
        <w:t>1.</w:t>
      </w:r>
      <w:r w:rsidR="005F1DB5">
        <w:rPr>
          <w:rFonts w:asciiTheme="minorHAnsi" w:hAnsiTheme="minorHAnsi" w:cstheme="minorHAnsi"/>
        </w:rPr>
        <w:t>5</w:t>
      </w:r>
      <w:r w:rsidRPr="00907B0F">
        <w:rPr>
          <w:rFonts w:asciiTheme="minorHAnsi" w:hAnsiTheme="minorHAnsi" w:cstheme="minorHAnsi"/>
        </w:rPr>
        <w:tab/>
      </w:r>
      <w:r w:rsidR="009C32B8" w:rsidRPr="009C32B8">
        <w:rPr>
          <w:rFonts w:asciiTheme="minorHAnsi" w:hAnsiTheme="minorHAnsi" w:cstheme="minorHAnsi"/>
          <w:color w:val="000000"/>
        </w:rPr>
        <w:t>Westminster schools receive the 7</w:t>
      </w:r>
      <w:r w:rsidR="009C32B8" w:rsidRPr="009C32B8">
        <w:rPr>
          <w:rFonts w:asciiTheme="minorHAnsi" w:hAnsiTheme="minorHAnsi" w:cstheme="minorHAnsi"/>
          <w:color w:val="000000"/>
          <w:vertAlign w:val="superscript"/>
        </w:rPr>
        <w:t>th</w:t>
      </w:r>
      <w:r w:rsidR="009C32B8" w:rsidRPr="009C32B8">
        <w:rPr>
          <w:rFonts w:asciiTheme="minorHAnsi" w:hAnsiTheme="minorHAnsi" w:cstheme="minorHAnsi"/>
          <w:color w:val="000000"/>
        </w:rPr>
        <w:t xml:space="preserve"> highest primary pupil funding nationally and the 9</w:t>
      </w:r>
      <w:r w:rsidR="009C32B8" w:rsidRPr="009C32B8">
        <w:rPr>
          <w:rFonts w:asciiTheme="minorHAnsi" w:hAnsiTheme="minorHAnsi" w:cstheme="minorHAnsi"/>
          <w:color w:val="000000"/>
          <w:vertAlign w:val="superscript"/>
        </w:rPr>
        <w:t>th</w:t>
      </w:r>
      <w:r w:rsidR="009C32B8" w:rsidRPr="009C32B8">
        <w:rPr>
          <w:rFonts w:asciiTheme="minorHAnsi" w:hAnsiTheme="minorHAnsi" w:cstheme="minorHAnsi"/>
          <w:color w:val="000000"/>
        </w:rPr>
        <w:t xml:space="preserve"> highest secondary pupil funding.  Schools are funded via the locally agreed formula and all Westminster schools are funded above the minimum per pupil funding levels in 2020/21</w:t>
      </w:r>
      <w:r w:rsidR="009C32B8" w:rsidRPr="009C32B8">
        <w:rPr>
          <w:rFonts w:asciiTheme="minorHAnsi" w:hAnsiTheme="minorHAnsi" w:cstheme="minorHAnsi"/>
        </w:rPr>
        <w:t>. Westminster schools will receive an average of £5,537 per primary pupil and £7,422 per secondary pupil.</w:t>
      </w:r>
    </w:p>
    <w:p w14:paraId="6C11BEF6" w14:textId="77777777" w:rsidR="009C32B8" w:rsidRPr="009C32B8" w:rsidRDefault="009C32B8" w:rsidP="00942BAF">
      <w:pPr>
        <w:spacing w:line="276" w:lineRule="auto"/>
        <w:jc w:val="both"/>
        <w:rPr>
          <w:rFonts w:asciiTheme="minorHAnsi" w:hAnsiTheme="minorHAnsi" w:cstheme="minorHAnsi"/>
        </w:rPr>
      </w:pPr>
    </w:p>
    <w:p w14:paraId="7FD7C2E6" w14:textId="07E54C85" w:rsidR="009C32B8" w:rsidRPr="009C32B8" w:rsidRDefault="009C32B8" w:rsidP="00942BAF">
      <w:pPr>
        <w:autoSpaceDE w:val="0"/>
        <w:autoSpaceDN w:val="0"/>
        <w:spacing w:line="276" w:lineRule="auto"/>
        <w:ind w:left="720" w:hanging="720"/>
        <w:jc w:val="both"/>
        <w:rPr>
          <w:rFonts w:asciiTheme="minorHAnsi" w:hAnsiTheme="minorHAnsi" w:cstheme="minorHAnsi"/>
        </w:rPr>
      </w:pPr>
      <w:r w:rsidRPr="009C32B8">
        <w:rPr>
          <w:rFonts w:asciiTheme="minorHAnsi" w:hAnsiTheme="minorHAnsi" w:cstheme="minorHAnsi"/>
          <w:color w:val="000000"/>
        </w:rPr>
        <w:t>1.6</w:t>
      </w:r>
      <w:r w:rsidRPr="009C32B8">
        <w:rPr>
          <w:rFonts w:asciiTheme="minorHAnsi" w:hAnsiTheme="minorHAnsi" w:cstheme="minorHAnsi"/>
          <w:color w:val="000000"/>
        </w:rPr>
        <w:tab/>
        <w:t xml:space="preserve">After funds are set aside for schools with falling rolls the amount to be distributed in total to schools is £115.381m, which is an additional £3.557m (3.5% per pupils) compared to 2019/20. The Minimum Funding Guarantee (MFG) is the per pupil protection and this has been set to ensure that all schools will gain at least +1.84% per pupil for the 2020/21 financial year. </w:t>
      </w:r>
    </w:p>
    <w:p w14:paraId="2294E0B7" w14:textId="77777777" w:rsidR="009C32B8" w:rsidRDefault="009C32B8" w:rsidP="00942BAF">
      <w:pPr>
        <w:autoSpaceDE w:val="0"/>
        <w:autoSpaceDN w:val="0"/>
        <w:adjustRightInd w:val="0"/>
        <w:spacing w:line="276" w:lineRule="auto"/>
        <w:ind w:left="720" w:hanging="720"/>
        <w:jc w:val="both"/>
        <w:rPr>
          <w:rFonts w:asciiTheme="minorHAnsi" w:hAnsiTheme="minorHAnsi" w:cstheme="minorHAnsi"/>
        </w:rPr>
      </w:pPr>
    </w:p>
    <w:p w14:paraId="02DD77F1" w14:textId="78F70F8E" w:rsidR="007A6E92" w:rsidRDefault="009C32B8" w:rsidP="00942BAF">
      <w:pPr>
        <w:autoSpaceDE w:val="0"/>
        <w:autoSpaceDN w:val="0"/>
        <w:adjustRightInd w:val="0"/>
        <w:spacing w:line="276" w:lineRule="auto"/>
        <w:ind w:left="720" w:hanging="720"/>
        <w:jc w:val="both"/>
        <w:rPr>
          <w:rFonts w:asciiTheme="minorHAnsi" w:eastAsiaTheme="minorHAnsi" w:hAnsiTheme="minorHAnsi" w:cstheme="minorHAnsi"/>
        </w:rPr>
      </w:pPr>
      <w:r>
        <w:rPr>
          <w:rFonts w:asciiTheme="minorHAnsi" w:eastAsiaTheme="minorHAnsi" w:hAnsiTheme="minorHAnsi" w:cstheme="minorHAnsi"/>
          <w:bCs/>
        </w:rPr>
        <w:t>1.7</w:t>
      </w:r>
      <w:r>
        <w:rPr>
          <w:rFonts w:asciiTheme="minorHAnsi" w:eastAsiaTheme="minorHAnsi" w:hAnsiTheme="minorHAnsi" w:cstheme="minorHAnsi"/>
          <w:bCs/>
        </w:rPr>
        <w:tab/>
      </w:r>
      <w:r w:rsidR="002B0409">
        <w:rPr>
          <w:rFonts w:asciiTheme="minorHAnsi" w:eastAsiaTheme="minorHAnsi" w:hAnsiTheme="minorHAnsi" w:cstheme="minorHAnsi"/>
          <w:bCs/>
        </w:rPr>
        <w:t>Twelve</w:t>
      </w:r>
      <w:r w:rsidR="007A6E92" w:rsidRPr="00907B0F">
        <w:rPr>
          <w:rFonts w:asciiTheme="minorHAnsi" w:eastAsiaTheme="minorHAnsi" w:hAnsiTheme="minorHAnsi" w:cstheme="minorHAnsi"/>
          <w:bCs/>
        </w:rPr>
        <w:t xml:space="preserve"> schools ended 2018/19 in deficit, compared with eight schools at the end of 2017/18. </w:t>
      </w:r>
      <w:r w:rsidR="007A6E92" w:rsidRPr="007A6E92">
        <w:rPr>
          <w:rFonts w:asciiTheme="minorHAnsi" w:eastAsiaTheme="minorHAnsi" w:hAnsiTheme="minorHAnsi" w:cstheme="minorHAnsi"/>
        </w:rPr>
        <w:t xml:space="preserve"> Collectively, these schools had an aggregate deficit of £1.128m at 31</w:t>
      </w:r>
      <w:r w:rsidR="007A6E92" w:rsidRPr="007A6E92">
        <w:rPr>
          <w:rFonts w:asciiTheme="minorHAnsi" w:eastAsiaTheme="minorHAnsi" w:hAnsiTheme="minorHAnsi" w:cstheme="minorHAnsi"/>
          <w:vertAlign w:val="superscript"/>
        </w:rPr>
        <w:t>st</w:t>
      </w:r>
      <w:r w:rsidR="007A6E92" w:rsidRPr="007A6E92">
        <w:rPr>
          <w:rFonts w:asciiTheme="minorHAnsi" w:eastAsiaTheme="minorHAnsi" w:hAnsiTheme="minorHAnsi" w:cstheme="minorHAnsi"/>
        </w:rPr>
        <w:t xml:space="preserve"> March 2019.  </w:t>
      </w:r>
    </w:p>
    <w:p w14:paraId="054C4AA0" w14:textId="5AD77F6A" w:rsidR="005F1DB5" w:rsidRDefault="005F1DB5" w:rsidP="00942BAF">
      <w:pPr>
        <w:autoSpaceDE w:val="0"/>
        <w:autoSpaceDN w:val="0"/>
        <w:adjustRightInd w:val="0"/>
        <w:spacing w:line="276" w:lineRule="auto"/>
        <w:ind w:left="720" w:hanging="720"/>
        <w:jc w:val="both"/>
        <w:rPr>
          <w:rFonts w:asciiTheme="minorHAnsi" w:eastAsiaTheme="minorHAnsi" w:hAnsiTheme="minorHAnsi" w:cstheme="minorHAnsi"/>
        </w:rPr>
      </w:pPr>
    </w:p>
    <w:p w14:paraId="1005C88B" w14:textId="36BA23A8" w:rsidR="00DD5300" w:rsidRDefault="005F1DB5" w:rsidP="00942BAF">
      <w:pPr>
        <w:spacing w:line="276" w:lineRule="auto"/>
        <w:ind w:left="720" w:hanging="720"/>
        <w:jc w:val="both"/>
        <w:textAlignment w:val="baseline"/>
        <w:rPr>
          <w:rFonts w:cs="Calibri"/>
        </w:rPr>
      </w:pPr>
      <w:r>
        <w:rPr>
          <w:rFonts w:asciiTheme="minorHAnsi" w:eastAsiaTheme="minorHAnsi" w:hAnsiTheme="minorHAnsi" w:cstheme="minorHAnsi"/>
        </w:rPr>
        <w:t>1.</w:t>
      </w:r>
      <w:r w:rsidR="009C32B8">
        <w:rPr>
          <w:rFonts w:asciiTheme="minorHAnsi" w:eastAsiaTheme="minorHAnsi" w:hAnsiTheme="minorHAnsi" w:cstheme="minorHAnsi"/>
        </w:rPr>
        <w:t>8</w:t>
      </w:r>
      <w:r>
        <w:rPr>
          <w:rFonts w:asciiTheme="minorHAnsi" w:eastAsiaTheme="minorHAnsi" w:hAnsiTheme="minorHAnsi" w:cstheme="minorHAnsi"/>
        </w:rPr>
        <w:tab/>
      </w:r>
      <w:r w:rsidR="002B0409" w:rsidRPr="002B0409">
        <w:rPr>
          <w:rFonts w:eastAsia="Times New Roman" w:cs="Calibri"/>
        </w:rPr>
        <w:t>There are now 14 schools with deficit balances at 31</w:t>
      </w:r>
      <w:r w:rsidR="002B0409" w:rsidRPr="002B0409">
        <w:rPr>
          <w:rFonts w:eastAsia="Times New Roman" w:cs="Calibri"/>
          <w:vertAlign w:val="superscript"/>
        </w:rPr>
        <w:t>st</w:t>
      </w:r>
      <w:r w:rsidR="002B0409" w:rsidRPr="002B0409">
        <w:rPr>
          <w:rFonts w:eastAsia="Times New Roman" w:cs="Calibri"/>
        </w:rPr>
        <w:t xml:space="preserve"> March 2020 compared to 12 at 31 March 2019. Of the 12 in deficit at 31 March 2019, only two schools have delivered an underspend in the year to get back to an overall surplus this year. </w:t>
      </w:r>
      <w:r w:rsidR="00D61427" w:rsidRPr="002B0409">
        <w:rPr>
          <w:rFonts w:eastAsia="Times New Roman" w:cs="Calibri"/>
          <w:lang w:eastAsia="en-GB"/>
        </w:rPr>
        <w:t>The level of financial expertise contributing to effective financial management at each school particularly those in financial difficulty is variable, as is each school’s willingness to engage sufficiently with Finance.</w:t>
      </w:r>
      <w:r w:rsidR="00DD5300" w:rsidRPr="002B0409">
        <w:rPr>
          <w:rFonts w:cs="Calibri"/>
        </w:rPr>
        <w:t xml:space="preserve">  </w:t>
      </w:r>
      <w:r w:rsidR="009D4C4A" w:rsidRPr="002B0409">
        <w:rPr>
          <w:rFonts w:cs="Calibri"/>
        </w:rPr>
        <w:t xml:space="preserve">This is demonstrated through the significant variations between the in- year and </w:t>
      </w:r>
      <w:proofErr w:type="spellStart"/>
      <w:r w:rsidR="009D4C4A" w:rsidRPr="002B0409">
        <w:rPr>
          <w:rFonts w:cs="Calibri"/>
        </w:rPr>
        <w:t>year end</w:t>
      </w:r>
      <w:proofErr w:type="spellEnd"/>
      <w:r w:rsidR="009D4C4A" w:rsidRPr="002B0409">
        <w:rPr>
          <w:rFonts w:cs="Calibri"/>
        </w:rPr>
        <w:t xml:space="preserve"> financial monitoring positions.</w:t>
      </w:r>
    </w:p>
    <w:p w14:paraId="0370C00E" w14:textId="77777777" w:rsidR="00DD5300" w:rsidRDefault="00DD5300" w:rsidP="00942BAF">
      <w:pPr>
        <w:spacing w:line="276" w:lineRule="auto"/>
        <w:ind w:left="720" w:hanging="720"/>
        <w:jc w:val="both"/>
        <w:textAlignment w:val="baseline"/>
        <w:rPr>
          <w:rStyle w:val="normaltextrun1"/>
          <w:rFonts w:cs="Calibri"/>
        </w:rPr>
      </w:pPr>
    </w:p>
    <w:p w14:paraId="4BEB2115" w14:textId="5DCA0C06" w:rsidR="00D61427" w:rsidRDefault="00DD5300" w:rsidP="00942BAF">
      <w:pPr>
        <w:spacing w:line="276" w:lineRule="auto"/>
        <w:ind w:left="720" w:hanging="720"/>
        <w:jc w:val="both"/>
        <w:textAlignment w:val="baseline"/>
        <w:rPr>
          <w:rFonts w:eastAsia="Times New Roman" w:cs="Calibri"/>
          <w:lang w:eastAsia="en-GB"/>
        </w:rPr>
      </w:pPr>
      <w:r>
        <w:rPr>
          <w:rStyle w:val="normaltextrun1"/>
          <w:rFonts w:cs="Calibri"/>
        </w:rPr>
        <w:t>1.9</w:t>
      </w:r>
      <w:r>
        <w:rPr>
          <w:rStyle w:val="normaltextrun1"/>
          <w:rFonts w:cs="Calibri"/>
        </w:rPr>
        <w:tab/>
      </w:r>
      <w:r w:rsidR="00D61427" w:rsidRPr="00D61427">
        <w:rPr>
          <w:rFonts w:eastAsia="Times New Roman" w:cs="Calibri"/>
          <w:lang w:eastAsia="en-GB"/>
        </w:rPr>
        <w:t>The table below shows the downward movement in balances since 2017</w:t>
      </w:r>
      <w:r w:rsidR="009D4C4A">
        <w:rPr>
          <w:rFonts w:eastAsia="Times New Roman" w:cs="Calibri"/>
          <w:lang w:eastAsia="en-GB"/>
        </w:rPr>
        <w:t>.</w:t>
      </w:r>
    </w:p>
    <w:p w14:paraId="708BAB9B" w14:textId="77777777" w:rsidR="009D4C4A" w:rsidRDefault="009D4C4A" w:rsidP="00942BAF">
      <w:pPr>
        <w:spacing w:line="276" w:lineRule="auto"/>
        <w:ind w:firstLine="720"/>
        <w:jc w:val="both"/>
        <w:textAlignment w:val="baseline"/>
        <w:rPr>
          <w:rFonts w:eastAsia="Times New Roman" w:cs="Calibri"/>
          <w:lang w:eastAsia="en-GB"/>
        </w:rPr>
      </w:pPr>
    </w:p>
    <w:tbl>
      <w:tblPr>
        <w:tblStyle w:val="TableGrid"/>
        <w:tblW w:w="0" w:type="auto"/>
        <w:tblInd w:w="704" w:type="dxa"/>
        <w:tblLook w:val="04A0" w:firstRow="1" w:lastRow="0" w:firstColumn="1" w:lastColumn="0" w:noHBand="0" w:noVBand="1"/>
      </w:tblPr>
      <w:tblGrid>
        <w:gridCol w:w="1550"/>
        <w:gridCol w:w="2254"/>
        <w:gridCol w:w="2254"/>
        <w:gridCol w:w="2254"/>
      </w:tblGrid>
      <w:tr w:rsidR="009D4C4A" w:rsidRPr="009D4C4A" w14:paraId="660DF6F8" w14:textId="77777777" w:rsidTr="009D4C4A">
        <w:tc>
          <w:tcPr>
            <w:tcW w:w="1550" w:type="dxa"/>
            <w:shd w:val="clear" w:color="auto" w:fill="D9D9D9" w:themeFill="background1" w:themeFillShade="D9"/>
          </w:tcPr>
          <w:p w14:paraId="0A144C43" w14:textId="77777777" w:rsidR="009D4C4A" w:rsidRPr="009D4C4A" w:rsidRDefault="009D4C4A" w:rsidP="00942BAF">
            <w:pPr>
              <w:spacing w:line="276" w:lineRule="auto"/>
              <w:jc w:val="right"/>
              <w:textAlignment w:val="baseline"/>
              <w:rPr>
                <w:rFonts w:eastAsia="Times New Roman" w:cs="Calibri"/>
                <w:sz w:val="22"/>
                <w:szCs w:val="22"/>
                <w:lang w:eastAsia="en-GB"/>
              </w:rPr>
            </w:pPr>
            <w:r w:rsidRPr="009D4C4A">
              <w:rPr>
                <w:rFonts w:eastAsia="Times New Roman" w:cs="Calibri"/>
                <w:sz w:val="22"/>
                <w:szCs w:val="22"/>
                <w:lang w:eastAsia="en-GB"/>
              </w:rPr>
              <w:t>2017/18 Outturn</w:t>
            </w:r>
          </w:p>
        </w:tc>
        <w:tc>
          <w:tcPr>
            <w:tcW w:w="2254" w:type="dxa"/>
            <w:shd w:val="clear" w:color="auto" w:fill="D9D9D9" w:themeFill="background1" w:themeFillShade="D9"/>
          </w:tcPr>
          <w:p w14:paraId="47BE54B8" w14:textId="77777777" w:rsidR="009D4C4A" w:rsidRPr="009D4C4A" w:rsidRDefault="009D4C4A" w:rsidP="00942BAF">
            <w:pPr>
              <w:spacing w:line="276" w:lineRule="auto"/>
              <w:jc w:val="right"/>
              <w:textAlignment w:val="baseline"/>
              <w:rPr>
                <w:rFonts w:eastAsia="Times New Roman" w:cs="Calibri"/>
                <w:sz w:val="22"/>
                <w:szCs w:val="22"/>
                <w:lang w:eastAsia="en-GB"/>
              </w:rPr>
            </w:pPr>
            <w:r w:rsidRPr="009D4C4A">
              <w:rPr>
                <w:rFonts w:eastAsia="Times New Roman" w:cs="Calibri"/>
                <w:sz w:val="22"/>
                <w:szCs w:val="22"/>
                <w:lang w:eastAsia="en-GB"/>
              </w:rPr>
              <w:t>2018/19 Outturn</w:t>
            </w:r>
          </w:p>
        </w:tc>
        <w:tc>
          <w:tcPr>
            <w:tcW w:w="2254" w:type="dxa"/>
            <w:shd w:val="clear" w:color="auto" w:fill="D9D9D9" w:themeFill="background1" w:themeFillShade="D9"/>
          </w:tcPr>
          <w:p w14:paraId="6BC50164" w14:textId="77777777" w:rsidR="009D4C4A" w:rsidRPr="009D4C4A" w:rsidRDefault="009D4C4A" w:rsidP="00942BAF">
            <w:pPr>
              <w:spacing w:line="276" w:lineRule="auto"/>
              <w:jc w:val="right"/>
              <w:textAlignment w:val="baseline"/>
              <w:rPr>
                <w:rFonts w:eastAsia="Times New Roman" w:cs="Calibri"/>
                <w:sz w:val="21"/>
                <w:szCs w:val="21"/>
                <w:lang w:eastAsia="en-GB"/>
              </w:rPr>
            </w:pPr>
            <w:r w:rsidRPr="009D4C4A">
              <w:rPr>
                <w:rFonts w:eastAsia="Times New Roman" w:cs="Calibri"/>
                <w:sz w:val="21"/>
                <w:szCs w:val="21"/>
                <w:lang w:eastAsia="en-GB"/>
              </w:rPr>
              <w:t xml:space="preserve">2019/20 – Forecast </w:t>
            </w:r>
            <w:r w:rsidRPr="009D4C4A">
              <w:rPr>
                <w:rFonts w:eastAsia="Times New Roman" w:cs="Calibri"/>
                <w:i/>
                <w:iCs/>
                <w:sz w:val="21"/>
                <w:szCs w:val="21"/>
                <w:lang w:eastAsia="en-GB"/>
              </w:rPr>
              <w:t>P10</w:t>
            </w:r>
          </w:p>
        </w:tc>
        <w:tc>
          <w:tcPr>
            <w:tcW w:w="2254" w:type="dxa"/>
            <w:shd w:val="clear" w:color="auto" w:fill="D9D9D9" w:themeFill="background1" w:themeFillShade="D9"/>
          </w:tcPr>
          <w:p w14:paraId="7FD33E67" w14:textId="69BAFA59" w:rsidR="009D4C4A" w:rsidRPr="009D4C4A" w:rsidRDefault="009D4C4A" w:rsidP="00942BAF">
            <w:pPr>
              <w:spacing w:line="276" w:lineRule="auto"/>
              <w:jc w:val="right"/>
              <w:textAlignment w:val="baseline"/>
              <w:rPr>
                <w:rFonts w:eastAsia="Times New Roman" w:cs="Calibri"/>
                <w:sz w:val="22"/>
                <w:szCs w:val="22"/>
                <w:lang w:eastAsia="en-GB"/>
              </w:rPr>
            </w:pPr>
            <w:r w:rsidRPr="009D4C4A">
              <w:rPr>
                <w:rFonts w:eastAsia="Times New Roman" w:cs="Calibri"/>
                <w:sz w:val="22"/>
                <w:szCs w:val="22"/>
                <w:lang w:eastAsia="en-GB"/>
              </w:rPr>
              <w:t xml:space="preserve">2019/20 Outturn </w:t>
            </w:r>
          </w:p>
        </w:tc>
      </w:tr>
      <w:tr w:rsidR="009D4C4A" w:rsidRPr="009D4C4A" w14:paraId="078CA8E4" w14:textId="77777777" w:rsidTr="009D4C4A">
        <w:tc>
          <w:tcPr>
            <w:tcW w:w="1550" w:type="dxa"/>
          </w:tcPr>
          <w:p w14:paraId="40C8642E" w14:textId="12E7336D" w:rsidR="009D4C4A" w:rsidRPr="009D4C4A" w:rsidRDefault="009D4C4A" w:rsidP="00942BAF">
            <w:pPr>
              <w:spacing w:line="276" w:lineRule="auto"/>
              <w:jc w:val="right"/>
              <w:textAlignment w:val="baseline"/>
              <w:rPr>
                <w:rFonts w:eastAsia="Times New Roman" w:cs="Calibri"/>
                <w:sz w:val="22"/>
                <w:szCs w:val="22"/>
                <w:lang w:eastAsia="en-GB"/>
              </w:rPr>
            </w:pPr>
            <w:r w:rsidRPr="009D4C4A">
              <w:rPr>
                <w:rFonts w:eastAsia="Times New Roman" w:cs="Calibri"/>
                <w:sz w:val="22"/>
                <w:szCs w:val="22"/>
                <w:lang w:eastAsia="en-GB"/>
              </w:rPr>
              <w:t>(5</w:t>
            </w:r>
            <w:r>
              <w:rPr>
                <w:rFonts w:eastAsia="Times New Roman" w:cs="Calibri"/>
                <w:sz w:val="22"/>
                <w:szCs w:val="22"/>
                <w:lang w:eastAsia="en-GB"/>
              </w:rPr>
              <w:t>.</w:t>
            </w:r>
            <w:r w:rsidRPr="009D4C4A">
              <w:rPr>
                <w:rFonts w:eastAsia="Times New Roman" w:cs="Calibri"/>
                <w:sz w:val="22"/>
                <w:szCs w:val="22"/>
                <w:lang w:eastAsia="en-GB"/>
              </w:rPr>
              <w:t>315</w:t>
            </w:r>
            <w:r>
              <w:rPr>
                <w:rFonts w:eastAsia="Times New Roman" w:cs="Calibri"/>
                <w:sz w:val="22"/>
                <w:szCs w:val="22"/>
                <w:lang w:eastAsia="en-GB"/>
              </w:rPr>
              <w:t>m</w:t>
            </w:r>
            <w:r w:rsidRPr="009D4C4A">
              <w:rPr>
                <w:rFonts w:eastAsia="Times New Roman" w:cs="Calibri"/>
                <w:sz w:val="22"/>
                <w:szCs w:val="22"/>
                <w:lang w:eastAsia="en-GB"/>
              </w:rPr>
              <w:t>)</w:t>
            </w:r>
          </w:p>
        </w:tc>
        <w:tc>
          <w:tcPr>
            <w:tcW w:w="2254" w:type="dxa"/>
          </w:tcPr>
          <w:p w14:paraId="62B81B9D" w14:textId="133E6721" w:rsidR="009D4C4A" w:rsidRPr="009D4C4A" w:rsidRDefault="009D4C4A" w:rsidP="00942BAF">
            <w:pPr>
              <w:spacing w:line="276" w:lineRule="auto"/>
              <w:jc w:val="right"/>
              <w:textAlignment w:val="baseline"/>
              <w:rPr>
                <w:rFonts w:eastAsia="Times New Roman" w:cs="Calibri"/>
                <w:sz w:val="22"/>
                <w:szCs w:val="22"/>
                <w:lang w:eastAsia="en-GB"/>
              </w:rPr>
            </w:pPr>
            <w:r w:rsidRPr="009D4C4A">
              <w:rPr>
                <w:rFonts w:eastAsia="Times New Roman" w:cs="Calibri"/>
                <w:sz w:val="22"/>
                <w:szCs w:val="22"/>
                <w:lang w:eastAsia="en-GB"/>
              </w:rPr>
              <w:t>(3</w:t>
            </w:r>
            <w:r>
              <w:rPr>
                <w:rFonts w:eastAsia="Times New Roman" w:cs="Calibri"/>
                <w:sz w:val="22"/>
                <w:szCs w:val="22"/>
                <w:lang w:eastAsia="en-GB"/>
              </w:rPr>
              <w:t>.</w:t>
            </w:r>
            <w:r w:rsidRPr="009D4C4A">
              <w:rPr>
                <w:rFonts w:eastAsia="Times New Roman" w:cs="Calibri"/>
                <w:sz w:val="22"/>
                <w:szCs w:val="22"/>
                <w:lang w:eastAsia="en-GB"/>
              </w:rPr>
              <w:t>289</w:t>
            </w:r>
            <w:r>
              <w:rPr>
                <w:rFonts w:eastAsia="Times New Roman" w:cs="Calibri"/>
                <w:sz w:val="22"/>
                <w:szCs w:val="22"/>
                <w:lang w:eastAsia="en-GB"/>
              </w:rPr>
              <w:t>m</w:t>
            </w:r>
            <w:r w:rsidRPr="009D4C4A">
              <w:rPr>
                <w:rFonts w:eastAsia="Times New Roman" w:cs="Calibri"/>
                <w:sz w:val="22"/>
                <w:szCs w:val="22"/>
                <w:lang w:eastAsia="en-GB"/>
              </w:rPr>
              <w:t>)</w:t>
            </w:r>
          </w:p>
        </w:tc>
        <w:tc>
          <w:tcPr>
            <w:tcW w:w="2254" w:type="dxa"/>
            <w:shd w:val="clear" w:color="auto" w:fill="D9D9D9" w:themeFill="background1" w:themeFillShade="D9"/>
          </w:tcPr>
          <w:p w14:paraId="4C084D3F" w14:textId="75B54B59" w:rsidR="009D4C4A" w:rsidRPr="009D4C4A" w:rsidRDefault="009D4C4A" w:rsidP="00942BAF">
            <w:pPr>
              <w:spacing w:line="276" w:lineRule="auto"/>
              <w:jc w:val="right"/>
              <w:textAlignment w:val="baseline"/>
              <w:rPr>
                <w:rFonts w:eastAsia="Times New Roman" w:cs="Calibri"/>
                <w:sz w:val="22"/>
                <w:szCs w:val="22"/>
                <w:lang w:eastAsia="en-GB"/>
              </w:rPr>
            </w:pPr>
            <w:r w:rsidRPr="009D4C4A">
              <w:rPr>
                <w:rFonts w:eastAsia="Times New Roman" w:cs="Calibri"/>
                <w:sz w:val="22"/>
                <w:szCs w:val="22"/>
                <w:lang w:eastAsia="en-GB"/>
              </w:rPr>
              <w:t>(</w:t>
            </w:r>
            <w:r>
              <w:rPr>
                <w:rFonts w:eastAsia="Times New Roman" w:cs="Calibri"/>
                <w:sz w:val="22"/>
                <w:szCs w:val="22"/>
                <w:lang w:eastAsia="en-GB"/>
              </w:rPr>
              <w:t>1.</w:t>
            </w:r>
            <w:r w:rsidRPr="009D4C4A">
              <w:rPr>
                <w:rFonts w:eastAsia="Times New Roman" w:cs="Calibri"/>
                <w:sz w:val="22"/>
                <w:szCs w:val="22"/>
                <w:lang w:eastAsia="en-GB"/>
              </w:rPr>
              <w:t>052</w:t>
            </w:r>
            <w:r>
              <w:rPr>
                <w:rFonts w:eastAsia="Times New Roman" w:cs="Calibri"/>
                <w:sz w:val="22"/>
                <w:szCs w:val="22"/>
                <w:lang w:eastAsia="en-GB"/>
              </w:rPr>
              <w:t>m</w:t>
            </w:r>
            <w:r w:rsidRPr="009D4C4A">
              <w:rPr>
                <w:rFonts w:eastAsia="Times New Roman" w:cs="Calibri"/>
                <w:sz w:val="22"/>
                <w:szCs w:val="22"/>
                <w:lang w:eastAsia="en-GB"/>
              </w:rPr>
              <w:t>)</w:t>
            </w:r>
          </w:p>
        </w:tc>
        <w:tc>
          <w:tcPr>
            <w:tcW w:w="2254" w:type="dxa"/>
          </w:tcPr>
          <w:p w14:paraId="75884359" w14:textId="7C5F561E" w:rsidR="009D4C4A" w:rsidRPr="009D4C4A" w:rsidRDefault="009D4C4A" w:rsidP="00942BAF">
            <w:pPr>
              <w:spacing w:line="276" w:lineRule="auto"/>
              <w:jc w:val="right"/>
              <w:textAlignment w:val="baseline"/>
              <w:rPr>
                <w:rFonts w:eastAsia="Times New Roman" w:cs="Calibri"/>
                <w:sz w:val="22"/>
                <w:szCs w:val="22"/>
                <w:lang w:eastAsia="en-GB"/>
              </w:rPr>
            </w:pPr>
            <w:r w:rsidRPr="009D4C4A">
              <w:rPr>
                <w:rFonts w:eastAsia="Times New Roman" w:cs="Calibri"/>
                <w:sz w:val="22"/>
                <w:szCs w:val="22"/>
                <w:lang w:eastAsia="en-GB"/>
              </w:rPr>
              <w:t>(1</w:t>
            </w:r>
            <w:r>
              <w:rPr>
                <w:rFonts w:eastAsia="Times New Roman" w:cs="Calibri"/>
                <w:sz w:val="22"/>
                <w:szCs w:val="22"/>
                <w:lang w:eastAsia="en-GB"/>
              </w:rPr>
              <w:t>.</w:t>
            </w:r>
            <w:r w:rsidRPr="009D4C4A">
              <w:rPr>
                <w:rFonts w:eastAsia="Times New Roman" w:cs="Calibri"/>
                <w:sz w:val="22"/>
                <w:szCs w:val="22"/>
                <w:lang w:eastAsia="en-GB"/>
              </w:rPr>
              <w:t>8</w:t>
            </w:r>
            <w:r w:rsidR="002B0409">
              <w:rPr>
                <w:rFonts w:eastAsia="Times New Roman" w:cs="Calibri"/>
                <w:sz w:val="22"/>
                <w:szCs w:val="22"/>
                <w:lang w:eastAsia="en-GB"/>
              </w:rPr>
              <w:t>46</w:t>
            </w:r>
            <w:r>
              <w:rPr>
                <w:rFonts w:eastAsia="Times New Roman" w:cs="Calibri"/>
                <w:sz w:val="22"/>
                <w:szCs w:val="22"/>
                <w:lang w:eastAsia="en-GB"/>
              </w:rPr>
              <w:t>m</w:t>
            </w:r>
            <w:r w:rsidRPr="009D4C4A">
              <w:rPr>
                <w:rFonts w:eastAsia="Times New Roman" w:cs="Calibri"/>
                <w:sz w:val="22"/>
                <w:szCs w:val="22"/>
                <w:lang w:eastAsia="en-GB"/>
              </w:rPr>
              <w:t>)</w:t>
            </w:r>
          </w:p>
        </w:tc>
      </w:tr>
    </w:tbl>
    <w:p w14:paraId="1B1060A8" w14:textId="5E58E080" w:rsidR="009D4C4A" w:rsidRDefault="009D4C4A" w:rsidP="00942BAF">
      <w:pPr>
        <w:spacing w:line="276" w:lineRule="auto"/>
        <w:ind w:firstLine="720"/>
        <w:jc w:val="both"/>
        <w:textAlignment w:val="baseline"/>
        <w:rPr>
          <w:rFonts w:eastAsia="Times New Roman" w:cs="Calibri"/>
          <w:lang w:eastAsia="en-GB"/>
        </w:rPr>
      </w:pPr>
    </w:p>
    <w:p w14:paraId="2745E6C2" w14:textId="4A6BAE34" w:rsidR="00447B24" w:rsidRPr="00447B24" w:rsidRDefault="00DD5300" w:rsidP="00983FEF">
      <w:pPr>
        <w:spacing w:line="276" w:lineRule="auto"/>
        <w:ind w:left="709" w:hanging="709"/>
        <w:jc w:val="both"/>
        <w:rPr>
          <w:rFonts w:cs="Calibri"/>
          <w:b/>
        </w:rPr>
      </w:pPr>
      <w:r w:rsidRPr="002B0409">
        <w:rPr>
          <w:rFonts w:asciiTheme="minorHAnsi" w:eastAsiaTheme="minorHAnsi" w:hAnsiTheme="minorHAnsi" w:cstheme="minorHAnsi"/>
        </w:rPr>
        <w:t>1.10</w:t>
      </w:r>
      <w:r w:rsidR="008833DA">
        <w:rPr>
          <w:rFonts w:cs="Calibri"/>
          <w:i/>
          <w:iCs/>
        </w:rPr>
        <w:tab/>
      </w:r>
      <w:r w:rsidR="008833DA" w:rsidRPr="00447B24">
        <w:rPr>
          <w:rFonts w:cs="Calibri"/>
          <w:i/>
          <w:iCs/>
        </w:rPr>
        <w:t xml:space="preserve"> </w:t>
      </w:r>
      <w:r w:rsidR="008833DA" w:rsidRPr="00447B24">
        <w:rPr>
          <w:rFonts w:cs="Calibri"/>
        </w:rPr>
        <w:t xml:space="preserve">Full details of the individual </w:t>
      </w:r>
      <w:proofErr w:type="gramStart"/>
      <w:r w:rsidR="008833DA" w:rsidRPr="00447B24">
        <w:rPr>
          <w:rFonts w:cs="Calibri"/>
        </w:rPr>
        <w:t>schools</w:t>
      </w:r>
      <w:proofErr w:type="gramEnd"/>
      <w:r w:rsidR="008833DA" w:rsidRPr="00447B24">
        <w:rPr>
          <w:rFonts w:cs="Calibri"/>
        </w:rPr>
        <w:t xml:space="preserve"> balances are included in the separate paper on the agenda. The paper</w:t>
      </w:r>
      <w:r w:rsidR="00447B24">
        <w:rPr>
          <w:rFonts w:cs="Calibri"/>
        </w:rPr>
        <w:t xml:space="preserve"> is</w:t>
      </w:r>
      <w:r w:rsidR="008833DA" w:rsidRPr="00447B24">
        <w:rPr>
          <w:rFonts w:cs="Calibri"/>
        </w:rPr>
        <w:t xml:space="preserve"> </w:t>
      </w:r>
      <w:r w:rsidR="00447B24" w:rsidRPr="00447B24">
        <w:rPr>
          <w:rFonts w:cs="Calibri"/>
        </w:rPr>
        <w:t>titled</w:t>
      </w:r>
      <w:r w:rsidR="008833DA" w:rsidRPr="00447B24">
        <w:rPr>
          <w:rFonts w:cs="Calibri"/>
        </w:rPr>
        <w:t xml:space="preserve"> the</w:t>
      </w:r>
      <w:r w:rsidR="00447B24" w:rsidRPr="00447B24">
        <w:rPr>
          <w:rFonts w:cs="Calibri"/>
        </w:rPr>
        <w:t xml:space="preserve"> “</w:t>
      </w:r>
      <w:r w:rsidR="00447B24" w:rsidRPr="00447B24">
        <w:rPr>
          <w:rFonts w:cs="Calibri"/>
          <w:bCs/>
          <w:i/>
          <w:iCs/>
        </w:rPr>
        <w:t>D</w:t>
      </w:r>
      <w:r w:rsidR="00447B24">
        <w:rPr>
          <w:rFonts w:cs="Calibri"/>
          <w:bCs/>
          <w:i/>
          <w:iCs/>
        </w:rPr>
        <w:t>edicated</w:t>
      </w:r>
      <w:r w:rsidR="00447B24" w:rsidRPr="00447B24">
        <w:rPr>
          <w:rFonts w:cs="Calibri"/>
          <w:bCs/>
          <w:i/>
          <w:iCs/>
        </w:rPr>
        <w:t xml:space="preserve"> S</w:t>
      </w:r>
      <w:r w:rsidR="00447B24">
        <w:rPr>
          <w:rFonts w:cs="Calibri"/>
          <w:bCs/>
          <w:i/>
          <w:iCs/>
        </w:rPr>
        <w:t xml:space="preserve">chools </w:t>
      </w:r>
      <w:r w:rsidR="00447B24" w:rsidRPr="00447B24">
        <w:rPr>
          <w:rFonts w:cs="Calibri"/>
          <w:bCs/>
          <w:i/>
          <w:iCs/>
        </w:rPr>
        <w:t>G</w:t>
      </w:r>
      <w:r w:rsidR="00447B24">
        <w:rPr>
          <w:rFonts w:cs="Calibri"/>
          <w:bCs/>
          <w:i/>
          <w:iCs/>
        </w:rPr>
        <w:t>rant</w:t>
      </w:r>
      <w:r w:rsidR="00447B24" w:rsidRPr="00447B24">
        <w:rPr>
          <w:rFonts w:cs="Calibri"/>
          <w:bCs/>
          <w:i/>
          <w:iCs/>
        </w:rPr>
        <w:t xml:space="preserve"> O</w:t>
      </w:r>
      <w:r w:rsidR="00447B24">
        <w:rPr>
          <w:rFonts w:cs="Calibri"/>
          <w:bCs/>
          <w:i/>
          <w:iCs/>
        </w:rPr>
        <w:t>u</w:t>
      </w:r>
      <w:r w:rsidR="00983FEF">
        <w:rPr>
          <w:rFonts w:cs="Calibri"/>
          <w:bCs/>
          <w:i/>
          <w:iCs/>
        </w:rPr>
        <w:t xml:space="preserve">tturn and </w:t>
      </w:r>
      <w:proofErr w:type="gramStart"/>
      <w:r w:rsidR="00983FEF">
        <w:rPr>
          <w:rFonts w:cs="Calibri"/>
          <w:bCs/>
          <w:i/>
          <w:iCs/>
        </w:rPr>
        <w:t xml:space="preserve">Schools </w:t>
      </w:r>
      <w:r w:rsidR="00447B24" w:rsidRPr="00447B24">
        <w:rPr>
          <w:rFonts w:cs="Calibri"/>
          <w:bCs/>
          <w:i/>
          <w:iCs/>
        </w:rPr>
        <w:t xml:space="preserve"> B</w:t>
      </w:r>
      <w:r w:rsidR="00983FEF">
        <w:rPr>
          <w:rFonts w:cs="Calibri"/>
          <w:bCs/>
          <w:i/>
          <w:iCs/>
        </w:rPr>
        <w:t>alances</w:t>
      </w:r>
      <w:proofErr w:type="gramEnd"/>
      <w:r w:rsidR="00447B24" w:rsidRPr="00447B24">
        <w:rPr>
          <w:rFonts w:cs="Calibri"/>
          <w:bCs/>
          <w:i/>
          <w:iCs/>
        </w:rPr>
        <w:t xml:space="preserve"> </w:t>
      </w:r>
      <w:r w:rsidR="00983FEF">
        <w:rPr>
          <w:rFonts w:cs="Calibri"/>
          <w:bCs/>
          <w:i/>
          <w:iCs/>
        </w:rPr>
        <w:t>as at</w:t>
      </w:r>
      <w:r w:rsidR="00447B24" w:rsidRPr="00447B24">
        <w:rPr>
          <w:rFonts w:cs="Calibri"/>
          <w:bCs/>
          <w:i/>
          <w:iCs/>
        </w:rPr>
        <w:t xml:space="preserve"> 31</w:t>
      </w:r>
      <w:r w:rsidR="00983FEF">
        <w:rPr>
          <w:rFonts w:cs="Calibri"/>
          <w:bCs/>
          <w:i/>
          <w:iCs/>
        </w:rPr>
        <w:t>st</w:t>
      </w:r>
      <w:r w:rsidR="00447B24" w:rsidRPr="00447B24">
        <w:rPr>
          <w:rFonts w:cs="Calibri"/>
          <w:bCs/>
          <w:i/>
          <w:iCs/>
        </w:rPr>
        <w:t xml:space="preserve"> M</w:t>
      </w:r>
      <w:r w:rsidR="00983FEF">
        <w:rPr>
          <w:rFonts w:cs="Calibri"/>
          <w:bCs/>
          <w:i/>
          <w:iCs/>
        </w:rPr>
        <w:t>arch</w:t>
      </w:r>
      <w:r w:rsidR="00447B24" w:rsidRPr="00447B24">
        <w:rPr>
          <w:rFonts w:cs="Calibri"/>
          <w:bCs/>
          <w:i/>
          <w:iCs/>
        </w:rPr>
        <w:t xml:space="preserve"> 2020”.</w:t>
      </w:r>
    </w:p>
    <w:p w14:paraId="06E438E0" w14:textId="3C354D72" w:rsidR="00136BA1" w:rsidRPr="00551F33" w:rsidRDefault="008833DA" w:rsidP="00447B24">
      <w:pPr>
        <w:pStyle w:val="Heading4"/>
        <w:spacing w:line="276" w:lineRule="auto"/>
        <w:ind w:left="567" w:hanging="567"/>
        <w:jc w:val="left"/>
        <w:rPr>
          <w:rFonts w:ascii="Arial" w:eastAsia="Times New Roman" w:hAnsi="Arial" w:cs="Arial"/>
          <w:i w:val="0"/>
          <w:iCs w:val="0"/>
          <w:sz w:val="24"/>
          <w:szCs w:val="24"/>
          <w:highlight w:val="yellow"/>
        </w:rPr>
      </w:pPr>
      <w:r>
        <w:rPr>
          <w:rFonts w:ascii="Calibri" w:hAnsi="Calibri" w:cs="Calibri"/>
          <w:i w:val="0"/>
          <w:iCs w:val="0"/>
          <w:sz w:val="24"/>
          <w:szCs w:val="24"/>
        </w:rPr>
        <w:t xml:space="preserve"> </w:t>
      </w:r>
    </w:p>
    <w:p w14:paraId="7C669DAC" w14:textId="63FB066D" w:rsidR="002B0409" w:rsidRDefault="002B0409" w:rsidP="002B0409">
      <w:pPr>
        <w:pStyle w:val="Heading4"/>
        <w:spacing w:line="276" w:lineRule="auto"/>
        <w:ind w:left="567" w:hanging="567"/>
        <w:jc w:val="both"/>
        <w:rPr>
          <w:rFonts w:asciiTheme="minorHAnsi" w:eastAsia="Times New Roman" w:hAnsiTheme="minorHAnsi" w:cstheme="minorHAnsi"/>
          <w:i w:val="0"/>
          <w:iCs w:val="0"/>
          <w:sz w:val="24"/>
          <w:szCs w:val="24"/>
        </w:rPr>
      </w:pPr>
      <w:r>
        <w:rPr>
          <w:rFonts w:asciiTheme="minorHAnsi" w:eastAsia="Times New Roman" w:hAnsiTheme="minorHAnsi" w:cstheme="minorHAnsi"/>
          <w:i w:val="0"/>
          <w:iCs w:val="0"/>
          <w:sz w:val="24"/>
          <w:szCs w:val="24"/>
        </w:rPr>
        <w:t>1.11</w:t>
      </w:r>
      <w:r>
        <w:rPr>
          <w:rFonts w:asciiTheme="minorHAnsi" w:eastAsia="Times New Roman" w:hAnsiTheme="minorHAnsi" w:cstheme="minorHAnsi"/>
          <w:i w:val="0"/>
          <w:iCs w:val="0"/>
          <w:sz w:val="24"/>
          <w:szCs w:val="24"/>
        </w:rPr>
        <w:tab/>
      </w:r>
      <w:r w:rsidR="00136BA1" w:rsidRPr="002B0409">
        <w:rPr>
          <w:rFonts w:asciiTheme="minorHAnsi" w:eastAsia="Times New Roman" w:hAnsiTheme="minorHAnsi" w:cstheme="minorHAnsi"/>
          <w:i w:val="0"/>
          <w:iCs w:val="0"/>
          <w:sz w:val="24"/>
          <w:szCs w:val="24"/>
        </w:rPr>
        <w:t>Westminster’s annual statement of accounts reported an aggregate total of School Balances of £1.839m at 31</w:t>
      </w:r>
      <w:r w:rsidR="00136BA1" w:rsidRPr="002B0409">
        <w:rPr>
          <w:rFonts w:asciiTheme="minorHAnsi" w:eastAsia="Times New Roman" w:hAnsiTheme="minorHAnsi" w:cstheme="minorHAnsi"/>
          <w:i w:val="0"/>
          <w:iCs w:val="0"/>
          <w:sz w:val="24"/>
          <w:szCs w:val="24"/>
          <w:vertAlign w:val="superscript"/>
        </w:rPr>
        <w:t>st</w:t>
      </w:r>
      <w:r w:rsidR="00136BA1" w:rsidRPr="002B0409">
        <w:rPr>
          <w:rFonts w:asciiTheme="minorHAnsi" w:eastAsia="Times New Roman" w:hAnsiTheme="minorHAnsi" w:cstheme="minorHAnsi"/>
          <w:i w:val="0"/>
          <w:iCs w:val="0"/>
          <w:sz w:val="24"/>
          <w:szCs w:val="24"/>
        </w:rPr>
        <w:t xml:space="preserve"> March 2020, based on the best information available (including an element of estimates) at the time of closing the accounts. Following this, </w:t>
      </w:r>
      <w:r w:rsidR="00136BA1" w:rsidRPr="002B0409">
        <w:rPr>
          <w:rFonts w:asciiTheme="minorHAnsi" w:eastAsia="Times New Roman" w:hAnsiTheme="minorHAnsi" w:cstheme="minorHAnsi"/>
          <w:i w:val="0"/>
          <w:iCs w:val="0"/>
          <w:sz w:val="24"/>
          <w:szCs w:val="24"/>
        </w:rPr>
        <w:lastRenderedPageBreak/>
        <w:t xml:space="preserve">further work to refine the balances and verify the final position shown on the financial systems shows the final schools balances to be higher by £0.008m at £1.846m. </w:t>
      </w:r>
    </w:p>
    <w:p w14:paraId="136CFAE0" w14:textId="77777777" w:rsidR="002B0409" w:rsidRPr="00016DBB" w:rsidRDefault="002B0409" w:rsidP="002B0409">
      <w:pPr>
        <w:pStyle w:val="Heading4"/>
        <w:spacing w:line="276" w:lineRule="auto"/>
        <w:ind w:left="567" w:hanging="567"/>
        <w:jc w:val="left"/>
        <w:rPr>
          <w:rFonts w:ascii="Arial" w:eastAsia="Times New Roman" w:hAnsi="Arial" w:cs="Arial"/>
          <w:i w:val="0"/>
          <w:iCs w:val="0"/>
          <w:sz w:val="24"/>
          <w:szCs w:val="24"/>
        </w:rPr>
      </w:pPr>
    </w:p>
    <w:p w14:paraId="3710929B" w14:textId="27B1E0C1" w:rsidR="00136BA1" w:rsidRPr="002B0409" w:rsidRDefault="002B0409" w:rsidP="002B0409">
      <w:pPr>
        <w:pStyle w:val="Heading4"/>
        <w:spacing w:line="276" w:lineRule="auto"/>
        <w:ind w:left="624" w:hanging="624"/>
        <w:jc w:val="both"/>
        <w:rPr>
          <w:rFonts w:asciiTheme="minorHAnsi" w:hAnsiTheme="minorHAnsi" w:cstheme="minorHAnsi"/>
          <w:i w:val="0"/>
          <w:sz w:val="24"/>
          <w:szCs w:val="24"/>
        </w:rPr>
      </w:pPr>
      <w:r>
        <w:rPr>
          <w:rFonts w:ascii="Arial" w:eastAsia="Times New Roman" w:hAnsi="Arial" w:cs="Arial"/>
          <w:i w:val="0"/>
          <w:iCs w:val="0"/>
          <w:sz w:val="24"/>
          <w:szCs w:val="24"/>
        </w:rPr>
        <w:t>1.</w:t>
      </w:r>
      <w:r w:rsidRPr="002B0409">
        <w:rPr>
          <w:rFonts w:asciiTheme="minorHAnsi" w:eastAsia="Times New Roman" w:hAnsiTheme="minorHAnsi" w:cstheme="minorHAnsi"/>
          <w:i w:val="0"/>
          <w:iCs w:val="0"/>
          <w:sz w:val="24"/>
          <w:szCs w:val="24"/>
        </w:rPr>
        <w:t>12</w:t>
      </w:r>
      <w:r w:rsidRPr="002B0409">
        <w:rPr>
          <w:rFonts w:asciiTheme="minorHAnsi" w:eastAsia="Times New Roman" w:hAnsiTheme="minorHAnsi" w:cstheme="minorHAnsi"/>
          <w:i w:val="0"/>
          <w:iCs w:val="0"/>
          <w:sz w:val="24"/>
          <w:szCs w:val="24"/>
        </w:rPr>
        <w:tab/>
      </w:r>
      <w:r w:rsidR="00136BA1" w:rsidRPr="002B0409">
        <w:rPr>
          <w:rFonts w:asciiTheme="minorHAnsi" w:eastAsia="Times New Roman" w:hAnsiTheme="minorHAnsi" w:cstheme="minorHAnsi"/>
          <w:i w:val="0"/>
          <w:iCs w:val="0"/>
          <w:sz w:val="24"/>
          <w:szCs w:val="24"/>
        </w:rPr>
        <w:t xml:space="preserve">Overall, of the 40 </w:t>
      </w:r>
      <w:r w:rsidR="00447B24">
        <w:rPr>
          <w:rFonts w:asciiTheme="minorHAnsi" w:eastAsia="Times New Roman" w:hAnsiTheme="minorHAnsi" w:cstheme="minorHAnsi"/>
          <w:i w:val="0"/>
          <w:iCs w:val="0"/>
          <w:sz w:val="24"/>
          <w:szCs w:val="24"/>
        </w:rPr>
        <w:t xml:space="preserve">maintained </w:t>
      </w:r>
      <w:r w:rsidR="00136BA1" w:rsidRPr="002B0409">
        <w:rPr>
          <w:rFonts w:asciiTheme="minorHAnsi" w:eastAsia="Times New Roman" w:hAnsiTheme="minorHAnsi" w:cstheme="minorHAnsi"/>
          <w:i w:val="0"/>
          <w:iCs w:val="0"/>
          <w:sz w:val="24"/>
          <w:szCs w:val="24"/>
        </w:rPr>
        <w:t>schools, 24 reported</w:t>
      </w:r>
      <w:r w:rsidR="00447B24">
        <w:rPr>
          <w:rFonts w:asciiTheme="minorHAnsi" w:eastAsia="Times New Roman" w:hAnsiTheme="minorHAnsi" w:cstheme="minorHAnsi"/>
          <w:i w:val="0"/>
          <w:iCs w:val="0"/>
          <w:sz w:val="24"/>
          <w:szCs w:val="24"/>
        </w:rPr>
        <w:t xml:space="preserve"> have reported</w:t>
      </w:r>
      <w:r w:rsidR="00136BA1" w:rsidRPr="002B0409">
        <w:rPr>
          <w:rFonts w:asciiTheme="minorHAnsi" w:eastAsia="Times New Roman" w:hAnsiTheme="minorHAnsi" w:cstheme="minorHAnsi"/>
          <w:i w:val="0"/>
          <w:iCs w:val="0"/>
          <w:sz w:val="24"/>
          <w:szCs w:val="24"/>
        </w:rPr>
        <w:t xml:space="preserve"> a net deficit on budget for the year, thereby reducing their surplus balance or increasing their deficit balance.</w:t>
      </w:r>
      <w:r>
        <w:rPr>
          <w:rFonts w:asciiTheme="minorHAnsi" w:eastAsia="Times New Roman" w:hAnsiTheme="minorHAnsi" w:cstheme="minorHAnsi"/>
          <w:i w:val="0"/>
          <w:iCs w:val="0"/>
          <w:sz w:val="24"/>
          <w:szCs w:val="24"/>
        </w:rPr>
        <w:t xml:space="preserve"> </w:t>
      </w:r>
      <w:r w:rsidR="00136BA1" w:rsidRPr="002B0409">
        <w:rPr>
          <w:rFonts w:asciiTheme="minorHAnsi" w:hAnsiTheme="minorHAnsi" w:cstheme="minorHAnsi"/>
          <w:i w:val="0"/>
          <w:sz w:val="24"/>
          <w:szCs w:val="24"/>
        </w:rPr>
        <w:t>The Council’s Scheme for Financing Schools does not permit a school to plan for a deficit budget.</w:t>
      </w:r>
      <w:r w:rsidR="00136BA1" w:rsidRPr="002B0409">
        <w:rPr>
          <w:rFonts w:asciiTheme="minorHAnsi" w:hAnsiTheme="minorHAnsi" w:cstheme="minorHAnsi"/>
          <w:sz w:val="24"/>
          <w:szCs w:val="24"/>
        </w:rPr>
        <w:t xml:space="preserve"> </w:t>
      </w:r>
      <w:r w:rsidR="00136BA1" w:rsidRPr="002B0409">
        <w:rPr>
          <w:rFonts w:asciiTheme="minorHAnsi" w:hAnsiTheme="minorHAnsi" w:cstheme="minorHAnsi"/>
          <w:i w:val="0"/>
          <w:sz w:val="24"/>
          <w:szCs w:val="24"/>
        </w:rPr>
        <w:t xml:space="preserve">Where in exceptional circumstances deficits cannot be avoided, then such deficits need to operate under licence.  This requires the school to agree a deficit recovery plan with the Authority before the first formal budget is set in the financial year of the planned deficit.  </w:t>
      </w:r>
    </w:p>
    <w:p w14:paraId="689294A9" w14:textId="2A7938F2" w:rsidR="007A6E92" w:rsidRDefault="007A6E92" w:rsidP="00942BAF">
      <w:pPr>
        <w:autoSpaceDE w:val="0"/>
        <w:autoSpaceDN w:val="0"/>
        <w:adjustRightInd w:val="0"/>
        <w:spacing w:line="276" w:lineRule="auto"/>
        <w:ind w:left="720" w:hanging="720"/>
        <w:jc w:val="both"/>
        <w:rPr>
          <w:rFonts w:asciiTheme="minorHAnsi" w:eastAsiaTheme="minorHAnsi" w:hAnsiTheme="minorHAnsi" w:cstheme="minorHAnsi"/>
        </w:rPr>
      </w:pPr>
    </w:p>
    <w:p w14:paraId="1F68D1D1" w14:textId="77777777" w:rsidR="009D4C4A" w:rsidRPr="00907B0F" w:rsidRDefault="009D4C4A" w:rsidP="00942BAF">
      <w:pPr>
        <w:autoSpaceDE w:val="0"/>
        <w:autoSpaceDN w:val="0"/>
        <w:adjustRightInd w:val="0"/>
        <w:spacing w:line="276" w:lineRule="auto"/>
        <w:ind w:left="720" w:hanging="720"/>
        <w:jc w:val="both"/>
        <w:rPr>
          <w:rFonts w:asciiTheme="minorHAnsi" w:eastAsiaTheme="minorHAnsi" w:hAnsiTheme="minorHAnsi" w:cstheme="minorHAnsi"/>
        </w:rPr>
      </w:pPr>
    </w:p>
    <w:p w14:paraId="66BC1A40" w14:textId="17C89A57" w:rsidR="007A6E92" w:rsidRPr="00907B0F" w:rsidRDefault="00BD707E" w:rsidP="00942BAF">
      <w:pPr>
        <w:pStyle w:val="ListParagraph"/>
        <w:numPr>
          <w:ilvl w:val="0"/>
          <w:numId w:val="2"/>
        </w:numPr>
        <w:autoSpaceDE w:val="0"/>
        <w:autoSpaceDN w:val="0"/>
        <w:adjustRightInd w:val="0"/>
        <w:spacing w:line="276" w:lineRule="auto"/>
        <w:jc w:val="both"/>
        <w:rPr>
          <w:rFonts w:asciiTheme="minorHAnsi" w:eastAsiaTheme="minorHAnsi" w:hAnsiTheme="minorHAnsi" w:cstheme="minorHAnsi"/>
          <w:b/>
          <w:bCs/>
        </w:rPr>
      </w:pPr>
      <w:r w:rsidRPr="00907B0F">
        <w:rPr>
          <w:rFonts w:asciiTheme="minorHAnsi" w:eastAsiaTheme="minorHAnsi" w:hAnsiTheme="minorHAnsi" w:cstheme="minorHAnsi"/>
          <w:b/>
          <w:bCs/>
        </w:rPr>
        <w:t>Current Position and C</w:t>
      </w:r>
      <w:r w:rsidR="00895D45" w:rsidRPr="00907B0F">
        <w:rPr>
          <w:rFonts w:asciiTheme="minorHAnsi" w:eastAsiaTheme="minorHAnsi" w:hAnsiTheme="minorHAnsi" w:cstheme="minorHAnsi"/>
          <w:b/>
          <w:bCs/>
        </w:rPr>
        <w:t>h</w:t>
      </w:r>
      <w:r w:rsidRPr="00907B0F">
        <w:rPr>
          <w:rFonts w:asciiTheme="minorHAnsi" w:eastAsiaTheme="minorHAnsi" w:hAnsiTheme="minorHAnsi" w:cstheme="minorHAnsi"/>
          <w:b/>
          <w:bCs/>
        </w:rPr>
        <w:t>allenges</w:t>
      </w:r>
    </w:p>
    <w:p w14:paraId="70B8B3C7" w14:textId="5FA68B78" w:rsidR="007A6E92" w:rsidRPr="00907B0F" w:rsidRDefault="007A6E92" w:rsidP="00942BAF">
      <w:pPr>
        <w:autoSpaceDE w:val="0"/>
        <w:autoSpaceDN w:val="0"/>
        <w:adjustRightInd w:val="0"/>
        <w:spacing w:line="276" w:lineRule="auto"/>
        <w:jc w:val="both"/>
        <w:rPr>
          <w:rFonts w:asciiTheme="minorHAnsi" w:eastAsiaTheme="minorHAnsi" w:hAnsiTheme="minorHAnsi" w:cstheme="minorHAnsi"/>
          <w:b/>
          <w:bCs/>
        </w:rPr>
      </w:pPr>
    </w:p>
    <w:p w14:paraId="0F560404" w14:textId="4865D901" w:rsidR="009C32B8" w:rsidRDefault="007A6E92" w:rsidP="00942BAF">
      <w:pPr>
        <w:autoSpaceDE w:val="0"/>
        <w:autoSpaceDN w:val="0"/>
        <w:adjustRightInd w:val="0"/>
        <w:spacing w:line="276" w:lineRule="auto"/>
        <w:ind w:left="720" w:hanging="720"/>
        <w:jc w:val="both"/>
        <w:rPr>
          <w:rFonts w:asciiTheme="minorHAnsi" w:eastAsiaTheme="minorHAnsi" w:hAnsiTheme="minorHAnsi" w:cstheme="minorHAnsi"/>
        </w:rPr>
      </w:pPr>
      <w:r w:rsidRPr="00907B0F">
        <w:rPr>
          <w:rFonts w:asciiTheme="minorHAnsi" w:eastAsiaTheme="minorHAnsi" w:hAnsiTheme="minorHAnsi" w:cstheme="minorHAnsi"/>
        </w:rPr>
        <w:t>2.1</w:t>
      </w:r>
      <w:r w:rsidR="009C32B8">
        <w:rPr>
          <w:rFonts w:asciiTheme="minorHAnsi" w:eastAsiaTheme="minorHAnsi" w:hAnsiTheme="minorHAnsi" w:cstheme="minorHAnsi"/>
        </w:rPr>
        <w:tab/>
        <w:t xml:space="preserve">The school role projections produced by the GLA have not resulted in the </w:t>
      </w:r>
      <w:proofErr w:type="gramStart"/>
      <w:r w:rsidR="009C32B8">
        <w:rPr>
          <w:rFonts w:asciiTheme="minorHAnsi" w:eastAsiaTheme="minorHAnsi" w:hAnsiTheme="minorHAnsi" w:cstheme="minorHAnsi"/>
        </w:rPr>
        <w:t>projected  number</w:t>
      </w:r>
      <w:proofErr w:type="gramEnd"/>
      <w:r w:rsidR="009C32B8">
        <w:rPr>
          <w:rFonts w:asciiTheme="minorHAnsi" w:eastAsiaTheme="minorHAnsi" w:hAnsiTheme="minorHAnsi" w:cstheme="minorHAnsi"/>
        </w:rPr>
        <w:t xml:space="preserve"> of pupils within Westminster schools. Th</w:t>
      </w:r>
      <w:r w:rsidR="009D4C4A">
        <w:rPr>
          <w:rFonts w:asciiTheme="minorHAnsi" w:eastAsiaTheme="minorHAnsi" w:hAnsiTheme="minorHAnsi" w:cstheme="minorHAnsi"/>
        </w:rPr>
        <w:t xml:space="preserve">ere has been </w:t>
      </w:r>
      <w:r w:rsidR="009C32B8">
        <w:rPr>
          <w:rFonts w:asciiTheme="minorHAnsi" w:eastAsiaTheme="minorHAnsi" w:hAnsiTheme="minorHAnsi" w:cstheme="minorHAnsi"/>
        </w:rPr>
        <w:t>a decline of 1,040 pupils within the primary sector since 2017.</w:t>
      </w:r>
      <w:r w:rsidRPr="00907B0F">
        <w:rPr>
          <w:rFonts w:asciiTheme="minorHAnsi" w:eastAsiaTheme="minorHAnsi" w:hAnsiTheme="minorHAnsi" w:cstheme="minorHAnsi"/>
        </w:rPr>
        <w:tab/>
      </w:r>
    </w:p>
    <w:p w14:paraId="42F0E501" w14:textId="77777777" w:rsidR="009C32B8" w:rsidRDefault="009C32B8" w:rsidP="00942BAF">
      <w:pPr>
        <w:autoSpaceDE w:val="0"/>
        <w:autoSpaceDN w:val="0"/>
        <w:adjustRightInd w:val="0"/>
        <w:spacing w:line="276" w:lineRule="auto"/>
        <w:ind w:left="720" w:hanging="720"/>
        <w:jc w:val="both"/>
        <w:rPr>
          <w:rFonts w:asciiTheme="minorHAnsi" w:eastAsiaTheme="minorHAnsi" w:hAnsiTheme="minorHAnsi" w:cstheme="minorHAnsi"/>
        </w:rPr>
      </w:pPr>
    </w:p>
    <w:p w14:paraId="13415808" w14:textId="4D1D3074" w:rsidR="007A6E92" w:rsidRPr="00907B0F" w:rsidRDefault="009C32B8" w:rsidP="00942BAF">
      <w:pPr>
        <w:autoSpaceDE w:val="0"/>
        <w:autoSpaceDN w:val="0"/>
        <w:adjustRightInd w:val="0"/>
        <w:spacing w:line="276" w:lineRule="auto"/>
        <w:ind w:left="720" w:hanging="720"/>
        <w:jc w:val="both"/>
      </w:pPr>
      <w:r>
        <w:rPr>
          <w:rFonts w:asciiTheme="minorHAnsi" w:eastAsiaTheme="minorHAnsi" w:hAnsiTheme="minorHAnsi" w:cstheme="minorHAnsi"/>
        </w:rPr>
        <w:t>2.2</w:t>
      </w:r>
      <w:r>
        <w:rPr>
          <w:rFonts w:asciiTheme="minorHAnsi" w:eastAsiaTheme="minorHAnsi" w:hAnsiTheme="minorHAnsi" w:cstheme="minorHAnsi"/>
        </w:rPr>
        <w:tab/>
      </w:r>
      <w:r w:rsidR="007A6E92" w:rsidRPr="00907B0F">
        <w:rPr>
          <w:rFonts w:asciiTheme="minorHAnsi" w:eastAsiaTheme="minorHAnsi" w:hAnsiTheme="minorHAnsi" w:cstheme="minorHAnsi"/>
        </w:rPr>
        <w:t xml:space="preserve">There is </w:t>
      </w:r>
      <w:r w:rsidR="007F0080" w:rsidRPr="00907B0F">
        <w:rPr>
          <w:rFonts w:asciiTheme="minorHAnsi" w:eastAsiaTheme="minorHAnsi" w:hAnsiTheme="minorHAnsi" w:cstheme="minorHAnsi"/>
        </w:rPr>
        <w:t xml:space="preserve">an </w:t>
      </w:r>
      <w:r w:rsidR="007A6E92" w:rsidRPr="00907B0F">
        <w:rPr>
          <w:rFonts w:asciiTheme="minorHAnsi" w:eastAsiaTheme="minorHAnsi" w:hAnsiTheme="minorHAnsi" w:cstheme="minorHAnsi"/>
        </w:rPr>
        <w:t xml:space="preserve">increasing </w:t>
      </w:r>
      <w:r w:rsidR="007A6E92" w:rsidRPr="00907B0F">
        <w:t>anxiety across the system surrounding falling pupil admission numbers, financial allocations and budget deficits. In addition, schools are facing increasing costs in both staffing and non-staffing budgets.</w:t>
      </w:r>
    </w:p>
    <w:p w14:paraId="6DAE5025" w14:textId="77777777" w:rsidR="007A6E92" w:rsidRPr="00907B0F" w:rsidRDefault="007A6E92" w:rsidP="00942BAF">
      <w:pPr>
        <w:autoSpaceDE w:val="0"/>
        <w:autoSpaceDN w:val="0"/>
        <w:adjustRightInd w:val="0"/>
        <w:spacing w:line="276" w:lineRule="auto"/>
        <w:ind w:left="720" w:hanging="720"/>
        <w:jc w:val="both"/>
      </w:pPr>
    </w:p>
    <w:p w14:paraId="50E4186D" w14:textId="5CC01188" w:rsidR="007A6E92" w:rsidRPr="00907B0F" w:rsidRDefault="007A6E92" w:rsidP="00942BAF">
      <w:pPr>
        <w:autoSpaceDE w:val="0"/>
        <w:autoSpaceDN w:val="0"/>
        <w:adjustRightInd w:val="0"/>
        <w:spacing w:line="276" w:lineRule="auto"/>
        <w:ind w:left="720" w:hanging="720"/>
        <w:jc w:val="both"/>
        <w:rPr>
          <w:rFonts w:asciiTheme="minorHAnsi" w:eastAsiaTheme="minorHAnsi" w:hAnsiTheme="minorHAnsi" w:cstheme="minorHAnsi"/>
        </w:rPr>
      </w:pPr>
      <w:r w:rsidRPr="00907B0F">
        <w:rPr>
          <w:rFonts w:asciiTheme="minorHAnsi" w:eastAsiaTheme="minorHAnsi" w:hAnsiTheme="minorHAnsi" w:cstheme="minorHAnsi"/>
        </w:rPr>
        <w:t>2.</w:t>
      </w:r>
      <w:r w:rsidR="009C32B8">
        <w:rPr>
          <w:rFonts w:asciiTheme="minorHAnsi" w:eastAsiaTheme="minorHAnsi" w:hAnsiTheme="minorHAnsi" w:cstheme="minorHAnsi"/>
        </w:rPr>
        <w:t>3</w:t>
      </w:r>
      <w:r w:rsidRPr="00907B0F">
        <w:rPr>
          <w:rFonts w:asciiTheme="minorHAnsi" w:eastAsiaTheme="minorHAnsi" w:hAnsiTheme="minorHAnsi" w:cstheme="minorHAnsi"/>
        </w:rPr>
        <w:tab/>
      </w:r>
      <w:r w:rsidR="00BD707E" w:rsidRPr="00907B0F">
        <w:rPr>
          <w:rFonts w:asciiTheme="minorHAnsi" w:eastAsiaTheme="minorHAnsi" w:hAnsiTheme="minorHAnsi" w:cstheme="minorHAnsi"/>
        </w:rPr>
        <w:t>Headteachers have asked the Local Authority for support in the development of a clear future vision for the school</w:t>
      </w:r>
      <w:r w:rsidR="00895D45" w:rsidRPr="00907B0F">
        <w:rPr>
          <w:rFonts w:asciiTheme="minorHAnsi" w:eastAsiaTheme="minorHAnsi" w:hAnsiTheme="minorHAnsi" w:cstheme="minorHAnsi"/>
        </w:rPr>
        <w:t>’</w:t>
      </w:r>
      <w:r w:rsidR="00BD707E" w:rsidRPr="00907B0F">
        <w:rPr>
          <w:rFonts w:asciiTheme="minorHAnsi" w:eastAsiaTheme="minorHAnsi" w:hAnsiTheme="minorHAnsi" w:cstheme="minorHAnsi"/>
        </w:rPr>
        <w:t>s estate. In addition, how to address the continued financial viability of schools resulting from the decline in pupil numbers.</w:t>
      </w:r>
    </w:p>
    <w:p w14:paraId="7ABB92AB" w14:textId="08F6B1F8" w:rsidR="00BD707E" w:rsidRPr="00907B0F" w:rsidRDefault="00BD707E" w:rsidP="00942BAF">
      <w:pPr>
        <w:autoSpaceDE w:val="0"/>
        <w:autoSpaceDN w:val="0"/>
        <w:adjustRightInd w:val="0"/>
        <w:spacing w:line="276" w:lineRule="auto"/>
        <w:ind w:left="720" w:hanging="720"/>
        <w:jc w:val="both"/>
        <w:rPr>
          <w:rFonts w:asciiTheme="minorHAnsi" w:eastAsiaTheme="minorHAnsi" w:hAnsiTheme="minorHAnsi" w:cstheme="minorHAnsi"/>
        </w:rPr>
      </w:pPr>
    </w:p>
    <w:p w14:paraId="7B1636B4" w14:textId="35F12BC8" w:rsidR="00BD707E" w:rsidRPr="00907B0F" w:rsidRDefault="00BD707E" w:rsidP="00942BAF">
      <w:pPr>
        <w:autoSpaceDE w:val="0"/>
        <w:autoSpaceDN w:val="0"/>
        <w:adjustRightInd w:val="0"/>
        <w:spacing w:line="276" w:lineRule="auto"/>
        <w:ind w:left="720" w:hanging="720"/>
        <w:jc w:val="both"/>
        <w:rPr>
          <w:rFonts w:asciiTheme="minorHAnsi" w:eastAsiaTheme="minorHAnsi" w:hAnsiTheme="minorHAnsi" w:cstheme="minorHAnsi"/>
        </w:rPr>
      </w:pPr>
      <w:r w:rsidRPr="00907B0F">
        <w:rPr>
          <w:rFonts w:asciiTheme="minorHAnsi" w:eastAsiaTheme="minorHAnsi" w:hAnsiTheme="minorHAnsi" w:cstheme="minorHAnsi"/>
        </w:rPr>
        <w:t>2.</w:t>
      </w:r>
      <w:r w:rsidR="009C32B8">
        <w:rPr>
          <w:rFonts w:asciiTheme="minorHAnsi" w:eastAsiaTheme="minorHAnsi" w:hAnsiTheme="minorHAnsi" w:cstheme="minorHAnsi"/>
        </w:rPr>
        <w:t>4</w:t>
      </w:r>
      <w:r w:rsidRPr="00907B0F">
        <w:rPr>
          <w:rFonts w:asciiTheme="minorHAnsi" w:eastAsiaTheme="minorHAnsi" w:hAnsiTheme="minorHAnsi" w:cstheme="minorHAnsi"/>
        </w:rPr>
        <w:tab/>
        <w:t>I</w:t>
      </w:r>
      <w:r w:rsidR="00907B0F">
        <w:rPr>
          <w:rFonts w:asciiTheme="minorHAnsi" w:eastAsiaTheme="minorHAnsi" w:hAnsiTheme="minorHAnsi" w:cstheme="minorHAnsi"/>
        </w:rPr>
        <w:t>t</w:t>
      </w:r>
      <w:r w:rsidRPr="00907B0F">
        <w:rPr>
          <w:rFonts w:asciiTheme="minorHAnsi" w:eastAsiaTheme="minorHAnsi" w:hAnsiTheme="minorHAnsi" w:cstheme="minorHAnsi"/>
        </w:rPr>
        <w:t xml:space="preserve"> is also acknowledged that schools are requiring additional support for both Headteachers and Governing bodies in strategic budget planning and financial modelling.</w:t>
      </w:r>
    </w:p>
    <w:p w14:paraId="580FABC2" w14:textId="6C3D1B33" w:rsidR="00BD707E" w:rsidRPr="00907B0F" w:rsidRDefault="00BD707E" w:rsidP="00942BAF">
      <w:pPr>
        <w:autoSpaceDE w:val="0"/>
        <w:autoSpaceDN w:val="0"/>
        <w:adjustRightInd w:val="0"/>
        <w:spacing w:line="276" w:lineRule="auto"/>
        <w:ind w:left="720" w:hanging="720"/>
        <w:jc w:val="both"/>
        <w:rPr>
          <w:rFonts w:asciiTheme="minorHAnsi" w:eastAsiaTheme="minorHAnsi" w:hAnsiTheme="minorHAnsi" w:cstheme="minorHAnsi"/>
        </w:rPr>
      </w:pPr>
    </w:p>
    <w:p w14:paraId="7F4958AD" w14:textId="1CC7BC60" w:rsidR="00BD707E" w:rsidRPr="00907B0F" w:rsidRDefault="00BD707E" w:rsidP="00942BAF">
      <w:pPr>
        <w:autoSpaceDE w:val="0"/>
        <w:autoSpaceDN w:val="0"/>
        <w:adjustRightInd w:val="0"/>
        <w:spacing w:line="276" w:lineRule="auto"/>
        <w:ind w:left="720" w:hanging="720"/>
        <w:jc w:val="both"/>
        <w:rPr>
          <w:rFonts w:asciiTheme="minorHAnsi" w:eastAsiaTheme="minorHAnsi" w:hAnsiTheme="minorHAnsi" w:cstheme="minorHAnsi"/>
        </w:rPr>
      </w:pPr>
      <w:r w:rsidRPr="00907B0F">
        <w:rPr>
          <w:rFonts w:asciiTheme="minorHAnsi" w:eastAsiaTheme="minorHAnsi" w:hAnsiTheme="minorHAnsi" w:cstheme="minorHAnsi"/>
        </w:rPr>
        <w:t>2.4</w:t>
      </w:r>
      <w:r w:rsidRPr="00907B0F">
        <w:rPr>
          <w:rFonts w:asciiTheme="minorHAnsi" w:eastAsiaTheme="minorHAnsi" w:hAnsiTheme="minorHAnsi" w:cstheme="minorHAnsi"/>
        </w:rPr>
        <w:tab/>
        <w:t xml:space="preserve">Forecasts for the 2020/21 financial year indicate a continued pressure on </w:t>
      </w:r>
      <w:r w:rsidR="00907B0F" w:rsidRPr="00907B0F">
        <w:rPr>
          <w:rFonts w:asciiTheme="minorHAnsi" w:eastAsiaTheme="minorHAnsi" w:hAnsiTheme="minorHAnsi" w:cstheme="minorHAnsi"/>
        </w:rPr>
        <w:t>school’s</w:t>
      </w:r>
      <w:r w:rsidRPr="00907B0F">
        <w:rPr>
          <w:rFonts w:asciiTheme="minorHAnsi" w:eastAsiaTheme="minorHAnsi" w:hAnsiTheme="minorHAnsi" w:cstheme="minorHAnsi"/>
        </w:rPr>
        <w:t xml:space="preserve"> budgets, with more schools having to set a de</w:t>
      </w:r>
      <w:r w:rsidR="00895D45" w:rsidRPr="00907B0F">
        <w:rPr>
          <w:rFonts w:asciiTheme="minorHAnsi" w:eastAsiaTheme="minorHAnsi" w:hAnsiTheme="minorHAnsi" w:cstheme="minorHAnsi"/>
        </w:rPr>
        <w:t>ficit</w:t>
      </w:r>
      <w:r w:rsidRPr="00907B0F">
        <w:rPr>
          <w:rFonts w:asciiTheme="minorHAnsi" w:eastAsiaTheme="minorHAnsi" w:hAnsiTheme="minorHAnsi" w:cstheme="minorHAnsi"/>
        </w:rPr>
        <w:t xml:space="preserve"> budget </w:t>
      </w:r>
    </w:p>
    <w:p w14:paraId="6692BE68" w14:textId="77777777" w:rsidR="00BD707E" w:rsidRPr="00907B0F" w:rsidRDefault="00BD707E" w:rsidP="00942BAF">
      <w:pPr>
        <w:autoSpaceDE w:val="0"/>
        <w:autoSpaceDN w:val="0"/>
        <w:adjustRightInd w:val="0"/>
        <w:spacing w:line="276" w:lineRule="auto"/>
        <w:ind w:left="720" w:hanging="720"/>
        <w:jc w:val="both"/>
        <w:rPr>
          <w:rFonts w:asciiTheme="minorHAnsi" w:eastAsiaTheme="minorHAnsi" w:hAnsiTheme="minorHAnsi" w:cstheme="minorHAnsi"/>
        </w:rPr>
      </w:pPr>
    </w:p>
    <w:p w14:paraId="6A511AE1" w14:textId="5D1C92DA" w:rsidR="007A6E92" w:rsidRPr="00907B0F" w:rsidRDefault="007A6E92" w:rsidP="00942BAF">
      <w:pPr>
        <w:autoSpaceDE w:val="0"/>
        <w:autoSpaceDN w:val="0"/>
        <w:adjustRightInd w:val="0"/>
        <w:spacing w:line="276" w:lineRule="auto"/>
        <w:ind w:left="720" w:hanging="720"/>
        <w:jc w:val="both"/>
        <w:rPr>
          <w:rFonts w:asciiTheme="minorHAnsi" w:eastAsiaTheme="minorHAnsi" w:hAnsiTheme="minorHAnsi" w:cstheme="minorHAnsi"/>
          <w:b/>
          <w:bCs/>
        </w:rPr>
      </w:pPr>
    </w:p>
    <w:p w14:paraId="79CC3A6A" w14:textId="6206484C" w:rsidR="00BD707E" w:rsidRPr="00907B0F" w:rsidRDefault="00BD707E" w:rsidP="00942BAF">
      <w:pPr>
        <w:pStyle w:val="ListParagraph"/>
        <w:numPr>
          <w:ilvl w:val="0"/>
          <w:numId w:val="2"/>
        </w:numPr>
        <w:spacing w:line="276" w:lineRule="auto"/>
        <w:jc w:val="both"/>
        <w:rPr>
          <w:rFonts w:asciiTheme="minorHAnsi" w:eastAsiaTheme="minorHAnsi" w:hAnsiTheme="minorHAnsi" w:cstheme="minorHAnsi"/>
          <w:b/>
          <w:bCs/>
        </w:rPr>
      </w:pPr>
      <w:r w:rsidRPr="00907B0F">
        <w:rPr>
          <w:rFonts w:asciiTheme="minorHAnsi" w:eastAsiaTheme="minorHAnsi" w:hAnsiTheme="minorHAnsi" w:cstheme="minorHAnsi"/>
          <w:b/>
          <w:bCs/>
        </w:rPr>
        <w:t>Strategic Review of Schools Finances and Pupil projections</w:t>
      </w:r>
    </w:p>
    <w:p w14:paraId="26108226" w14:textId="32A4DBA2" w:rsidR="00CF7D15" w:rsidRPr="00907B0F" w:rsidRDefault="00CF7D15" w:rsidP="00942BAF">
      <w:pPr>
        <w:spacing w:line="276" w:lineRule="auto"/>
        <w:jc w:val="both"/>
        <w:rPr>
          <w:rFonts w:asciiTheme="minorHAnsi" w:eastAsiaTheme="minorHAnsi" w:hAnsiTheme="minorHAnsi" w:cstheme="minorHAnsi"/>
          <w:b/>
          <w:bCs/>
        </w:rPr>
      </w:pPr>
    </w:p>
    <w:p w14:paraId="798AB263" w14:textId="732145D4" w:rsidR="00CF7D15" w:rsidRPr="00FD7D6C" w:rsidRDefault="00CF7D15" w:rsidP="00942BAF">
      <w:pPr>
        <w:spacing w:line="276" w:lineRule="auto"/>
        <w:ind w:left="709" w:hanging="709"/>
        <w:jc w:val="both"/>
        <w:rPr>
          <w:rFonts w:asciiTheme="minorHAnsi" w:eastAsiaTheme="minorHAnsi" w:hAnsiTheme="minorHAnsi" w:cstheme="minorHAnsi"/>
        </w:rPr>
      </w:pPr>
      <w:r w:rsidRPr="00FD7D6C">
        <w:rPr>
          <w:rFonts w:asciiTheme="minorHAnsi" w:eastAsiaTheme="minorHAnsi" w:hAnsiTheme="minorHAnsi" w:cstheme="minorHAnsi"/>
        </w:rPr>
        <w:t>3.1</w:t>
      </w:r>
      <w:r w:rsidRPr="00FD7D6C">
        <w:rPr>
          <w:rFonts w:asciiTheme="minorHAnsi" w:eastAsiaTheme="minorHAnsi" w:hAnsiTheme="minorHAnsi" w:cstheme="minorHAnsi"/>
        </w:rPr>
        <w:tab/>
      </w:r>
      <w:r w:rsidRPr="00FD7D6C">
        <w:rPr>
          <w:rFonts w:asciiTheme="minorHAnsi" w:eastAsiaTheme="minorHAnsi" w:hAnsiTheme="minorHAnsi" w:cstheme="minorHAnsi"/>
        </w:rPr>
        <w:tab/>
        <w:t xml:space="preserve">The aim of the strategic review would be </w:t>
      </w:r>
      <w:r w:rsidR="00907B0F" w:rsidRPr="00FD7D6C">
        <w:rPr>
          <w:rFonts w:asciiTheme="minorHAnsi" w:eastAsiaTheme="minorHAnsi" w:hAnsiTheme="minorHAnsi" w:cstheme="minorHAnsi"/>
        </w:rPr>
        <w:t>achieving</w:t>
      </w:r>
      <w:r w:rsidRPr="00FD7D6C">
        <w:rPr>
          <w:rFonts w:asciiTheme="minorHAnsi" w:eastAsiaTheme="minorHAnsi" w:hAnsiTheme="minorHAnsi" w:cstheme="minorHAnsi"/>
        </w:rPr>
        <w:t xml:space="preserve"> the following, working in partnership with schools to:</w:t>
      </w:r>
    </w:p>
    <w:p w14:paraId="33641010" w14:textId="77777777" w:rsidR="00CF7D15" w:rsidRPr="00907B0F" w:rsidRDefault="00CF7D15" w:rsidP="00942BAF">
      <w:pPr>
        <w:spacing w:line="276" w:lineRule="auto"/>
        <w:jc w:val="both"/>
        <w:rPr>
          <w:rFonts w:asciiTheme="minorHAnsi" w:eastAsiaTheme="minorHAnsi" w:hAnsiTheme="minorHAnsi" w:cstheme="minorHAnsi"/>
          <w:b/>
          <w:bCs/>
        </w:rPr>
      </w:pPr>
    </w:p>
    <w:p w14:paraId="56648618" w14:textId="15DBF352" w:rsidR="008E4B40" w:rsidRDefault="008E4B40" w:rsidP="00942BAF">
      <w:pPr>
        <w:numPr>
          <w:ilvl w:val="0"/>
          <w:numId w:val="5"/>
        </w:numPr>
        <w:spacing w:after="160" w:line="276" w:lineRule="auto"/>
        <w:contextualSpacing/>
        <w:jc w:val="both"/>
        <w:rPr>
          <w:rFonts w:asciiTheme="minorHAnsi" w:eastAsiaTheme="minorHAnsi" w:hAnsiTheme="minorHAnsi" w:cstheme="minorBidi"/>
        </w:rPr>
      </w:pPr>
      <w:r w:rsidRPr="00CF7D15">
        <w:rPr>
          <w:rFonts w:asciiTheme="minorHAnsi" w:eastAsiaTheme="minorHAnsi" w:hAnsiTheme="minorHAnsi" w:cstheme="minorBidi"/>
        </w:rPr>
        <w:t xml:space="preserve">To use external </w:t>
      </w:r>
      <w:r w:rsidR="00222AF2">
        <w:rPr>
          <w:rFonts w:asciiTheme="minorHAnsi" w:eastAsiaTheme="minorHAnsi" w:hAnsiTheme="minorHAnsi" w:cstheme="minorBidi"/>
        </w:rPr>
        <w:t xml:space="preserve">analysists working in conjunction with officers </w:t>
      </w:r>
      <w:r w:rsidRPr="00CF7D15">
        <w:rPr>
          <w:rFonts w:asciiTheme="minorHAnsi" w:eastAsiaTheme="minorHAnsi" w:hAnsiTheme="minorHAnsi" w:cstheme="minorBidi"/>
        </w:rPr>
        <w:t xml:space="preserve">to </w:t>
      </w:r>
      <w:r w:rsidR="00222AF2">
        <w:rPr>
          <w:rFonts w:asciiTheme="minorHAnsi" w:eastAsiaTheme="minorHAnsi" w:hAnsiTheme="minorHAnsi" w:cstheme="minorBidi"/>
        </w:rPr>
        <w:t xml:space="preserve">develop a robust </w:t>
      </w:r>
      <w:r w:rsidRPr="00CF7D15">
        <w:rPr>
          <w:rFonts w:asciiTheme="minorHAnsi" w:eastAsiaTheme="minorHAnsi" w:hAnsiTheme="minorHAnsi" w:cstheme="minorBidi"/>
        </w:rPr>
        <w:t>school placement planning</w:t>
      </w:r>
      <w:r w:rsidR="00222AF2">
        <w:rPr>
          <w:rFonts w:asciiTheme="minorHAnsi" w:eastAsiaTheme="minorHAnsi" w:hAnsiTheme="minorHAnsi" w:cstheme="minorBidi"/>
        </w:rPr>
        <w:t xml:space="preserve"> model</w:t>
      </w:r>
    </w:p>
    <w:p w14:paraId="353CE2B3" w14:textId="013C3D1B" w:rsidR="007F0080" w:rsidRPr="00907B0F" w:rsidRDefault="00222AF2" w:rsidP="00942BAF">
      <w:pPr>
        <w:numPr>
          <w:ilvl w:val="0"/>
          <w:numId w:val="5"/>
        </w:numPr>
        <w:spacing w:after="160" w:line="276" w:lineRule="auto"/>
        <w:contextualSpacing/>
        <w:jc w:val="both"/>
        <w:rPr>
          <w:rFonts w:asciiTheme="minorHAnsi" w:eastAsiaTheme="minorHAnsi" w:hAnsiTheme="minorHAnsi" w:cstheme="minorBidi"/>
        </w:rPr>
      </w:pPr>
      <w:r>
        <w:rPr>
          <w:rFonts w:asciiTheme="minorHAnsi" w:eastAsiaTheme="minorHAnsi" w:hAnsiTheme="minorHAnsi" w:cstheme="minorBidi"/>
        </w:rPr>
        <w:lastRenderedPageBreak/>
        <w:t>T</w:t>
      </w:r>
      <w:r w:rsidR="007F0080" w:rsidRPr="00907B0F">
        <w:rPr>
          <w:rFonts w:asciiTheme="minorHAnsi" w:eastAsiaTheme="minorHAnsi" w:hAnsiTheme="minorHAnsi" w:cstheme="minorBidi"/>
        </w:rPr>
        <w:t>o create uniformed budgetary principles to promote accuracy and consistency across the system; to use this to inform pupil admission planning – together with schools</w:t>
      </w:r>
      <w:r w:rsidR="00E01138">
        <w:rPr>
          <w:rFonts w:asciiTheme="minorHAnsi" w:eastAsiaTheme="minorHAnsi" w:hAnsiTheme="minorHAnsi" w:cstheme="minorBidi"/>
        </w:rPr>
        <w:t>.</w:t>
      </w:r>
    </w:p>
    <w:p w14:paraId="643D7D18" w14:textId="5752246D" w:rsidR="00CF7D15" w:rsidRPr="00CF7D15" w:rsidRDefault="007F0080" w:rsidP="00942BAF">
      <w:pPr>
        <w:numPr>
          <w:ilvl w:val="0"/>
          <w:numId w:val="5"/>
        </w:numPr>
        <w:spacing w:after="160" w:line="276" w:lineRule="auto"/>
        <w:contextualSpacing/>
        <w:jc w:val="both"/>
        <w:rPr>
          <w:rFonts w:asciiTheme="minorHAnsi" w:eastAsiaTheme="minorHAnsi" w:hAnsiTheme="minorHAnsi" w:cstheme="minorBidi"/>
        </w:rPr>
      </w:pPr>
      <w:r w:rsidRPr="00907B0F">
        <w:rPr>
          <w:rFonts w:asciiTheme="minorHAnsi" w:eastAsiaTheme="minorHAnsi" w:hAnsiTheme="minorHAnsi" w:cstheme="minorBidi"/>
        </w:rPr>
        <w:t>I</w:t>
      </w:r>
      <w:r w:rsidR="00CF7D15" w:rsidRPr="00CF7D15">
        <w:rPr>
          <w:rFonts w:asciiTheme="minorHAnsi" w:eastAsiaTheme="minorHAnsi" w:hAnsiTheme="minorHAnsi" w:cstheme="minorBidi"/>
        </w:rPr>
        <w:t>mprov</w:t>
      </w:r>
      <w:r w:rsidRPr="00907B0F">
        <w:rPr>
          <w:rFonts w:asciiTheme="minorHAnsi" w:eastAsiaTheme="minorHAnsi" w:hAnsiTheme="minorHAnsi" w:cstheme="minorBidi"/>
        </w:rPr>
        <w:t>e</w:t>
      </w:r>
      <w:r w:rsidR="00CF7D15" w:rsidRPr="00CF7D15">
        <w:rPr>
          <w:rFonts w:asciiTheme="minorHAnsi" w:eastAsiaTheme="minorHAnsi" w:hAnsiTheme="minorHAnsi" w:cstheme="minorBidi"/>
        </w:rPr>
        <w:t xml:space="preserve"> financial planning/ admissions planning across the </w:t>
      </w:r>
      <w:r w:rsidR="00907B0F" w:rsidRPr="00CF7D15">
        <w:rPr>
          <w:rFonts w:asciiTheme="minorHAnsi" w:eastAsiaTheme="minorHAnsi" w:hAnsiTheme="minorHAnsi" w:cstheme="minorBidi"/>
        </w:rPr>
        <w:t>school’s</w:t>
      </w:r>
      <w:r w:rsidR="00CF7D15" w:rsidRPr="00CF7D15">
        <w:rPr>
          <w:rFonts w:asciiTheme="minorHAnsi" w:eastAsiaTheme="minorHAnsi" w:hAnsiTheme="minorHAnsi" w:cstheme="minorBidi"/>
        </w:rPr>
        <w:t xml:space="preserve"> system. Seek agreement to use DSG money to finance external auditing program to clarify issues across system and develop response</w:t>
      </w:r>
      <w:r w:rsidR="00E01138">
        <w:rPr>
          <w:rFonts w:asciiTheme="minorHAnsi" w:eastAsiaTheme="minorHAnsi" w:hAnsiTheme="minorHAnsi" w:cstheme="minorBidi"/>
        </w:rPr>
        <w:t>.</w:t>
      </w:r>
    </w:p>
    <w:p w14:paraId="5A787087" w14:textId="77777777" w:rsidR="00CF7D15" w:rsidRPr="00CF7D15" w:rsidRDefault="00CF7D15" w:rsidP="00942BAF">
      <w:pPr>
        <w:numPr>
          <w:ilvl w:val="0"/>
          <w:numId w:val="5"/>
        </w:numPr>
        <w:spacing w:after="160" w:line="276" w:lineRule="auto"/>
        <w:contextualSpacing/>
        <w:jc w:val="both"/>
        <w:rPr>
          <w:rFonts w:asciiTheme="minorHAnsi" w:eastAsiaTheme="minorHAnsi" w:hAnsiTheme="minorHAnsi" w:cstheme="minorBidi"/>
        </w:rPr>
      </w:pPr>
      <w:r w:rsidRPr="00CF7D15">
        <w:rPr>
          <w:rFonts w:asciiTheme="minorHAnsi" w:eastAsiaTheme="minorHAnsi" w:hAnsiTheme="minorHAnsi" w:cstheme="minorBidi"/>
        </w:rPr>
        <w:t xml:space="preserve">Development of standardised budget management, reporting and forecasting to be implemented in all schools as part of the Local Authorities scheme for financing schools.  </w:t>
      </w:r>
    </w:p>
    <w:p w14:paraId="5981C242" w14:textId="4EB522CE" w:rsidR="00CF7D15" w:rsidRDefault="00CF7D15" w:rsidP="00942BAF">
      <w:pPr>
        <w:numPr>
          <w:ilvl w:val="0"/>
          <w:numId w:val="5"/>
        </w:numPr>
        <w:spacing w:after="160" w:line="276" w:lineRule="auto"/>
        <w:contextualSpacing/>
        <w:jc w:val="both"/>
        <w:rPr>
          <w:rFonts w:asciiTheme="minorHAnsi" w:eastAsiaTheme="minorHAnsi" w:hAnsiTheme="minorHAnsi" w:cstheme="minorBidi"/>
        </w:rPr>
      </w:pPr>
      <w:r w:rsidRPr="00CF7D15">
        <w:rPr>
          <w:rFonts w:asciiTheme="minorHAnsi" w:eastAsiaTheme="minorHAnsi" w:hAnsiTheme="minorHAnsi" w:cstheme="minorBidi"/>
        </w:rPr>
        <w:t xml:space="preserve">A future options appraisal for consideration by officers, members and schools. </w:t>
      </w:r>
    </w:p>
    <w:p w14:paraId="16051946" w14:textId="5CA73D23" w:rsidR="00FD7D6C" w:rsidRDefault="00FD7D6C" w:rsidP="00942BAF">
      <w:pPr>
        <w:spacing w:after="160" w:line="276" w:lineRule="auto"/>
        <w:contextualSpacing/>
        <w:rPr>
          <w:rFonts w:asciiTheme="minorHAnsi" w:eastAsiaTheme="minorHAnsi" w:hAnsiTheme="minorHAnsi" w:cstheme="minorBidi"/>
        </w:rPr>
      </w:pPr>
    </w:p>
    <w:p w14:paraId="6CF3D3D4" w14:textId="77777777" w:rsidR="00FD7D6C" w:rsidRDefault="00FD7D6C" w:rsidP="00942BAF">
      <w:pPr>
        <w:spacing w:after="160" w:line="276" w:lineRule="auto"/>
        <w:contextualSpacing/>
        <w:rPr>
          <w:rFonts w:asciiTheme="minorHAnsi" w:eastAsiaTheme="minorHAnsi" w:hAnsiTheme="minorHAnsi" w:cstheme="minorBidi"/>
        </w:rPr>
      </w:pPr>
    </w:p>
    <w:p w14:paraId="1AC2EEFC" w14:textId="01DBF2CA" w:rsidR="00CF7D15" w:rsidRPr="00907B0F" w:rsidRDefault="00CF7D15" w:rsidP="00942BAF">
      <w:pPr>
        <w:spacing w:after="160" w:line="276" w:lineRule="auto"/>
        <w:ind w:left="720" w:hanging="578"/>
        <w:rPr>
          <w:rFonts w:asciiTheme="minorHAnsi" w:eastAsiaTheme="minorHAnsi" w:hAnsiTheme="minorHAnsi" w:cstheme="minorHAnsi"/>
          <w:b/>
          <w:bCs/>
        </w:rPr>
      </w:pPr>
      <w:r w:rsidRPr="00907B0F">
        <w:rPr>
          <w:rFonts w:asciiTheme="minorHAnsi" w:eastAsiaTheme="minorHAnsi" w:hAnsiTheme="minorHAnsi" w:cstheme="minorHAnsi"/>
          <w:b/>
          <w:bCs/>
        </w:rPr>
        <w:t>3.2</w:t>
      </w:r>
      <w:r w:rsidRPr="00907B0F">
        <w:rPr>
          <w:rFonts w:asciiTheme="minorHAnsi" w:eastAsiaTheme="minorHAnsi" w:hAnsiTheme="minorHAnsi" w:cstheme="minorHAnsi"/>
          <w:b/>
          <w:bCs/>
        </w:rPr>
        <w:tab/>
      </w:r>
      <w:r w:rsidR="00986702" w:rsidRPr="00907B0F">
        <w:rPr>
          <w:rFonts w:asciiTheme="minorHAnsi" w:eastAsiaTheme="minorHAnsi" w:hAnsiTheme="minorHAnsi" w:cstheme="minorHAnsi"/>
          <w:b/>
          <w:bCs/>
        </w:rPr>
        <w:t xml:space="preserve">Proposed steps and key activities </w:t>
      </w:r>
    </w:p>
    <w:p w14:paraId="1189EB1E" w14:textId="4356F304" w:rsidR="00895D45" w:rsidRPr="00907B0F" w:rsidRDefault="00895D45" w:rsidP="00942BAF">
      <w:pPr>
        <w:pStyle w:val="ListParagraph"/>
        <w:numPr>
          <w:ilvl w:val="0"/>
          <w:numId w:val="5"/>
        </w:numPr>
        <w:spacing w:after="160" w:line="276" w:lineRule="auto"/>
        <w:jc w:val="both"/>
      </w:pPr>
      <w:r w:rsidRPr="00907B0F">
        <w:t xml:space="preserve">Review relevant documentation and literature that has already been produced on the bi-borough pressures and future forecasts. </w:t>
      </w:r>
    </w:p>
    <w:p w14:paraId="730D8C93" w14:textId="364D907B" w:rsidR="00895D45" w:rsidRPr="00907B0F" w:rsidRDefault="00895D45" w:rsidP="00942BAF">
      <w:pPr>
        <w:pStyle w:val="Default"/>
        <w:numPr>
          <w:ilvl w:val="0"/>
          <w:numId w:val="3"/>
        </w:numPr>
        <w:spacing w:after="33" w:line="276" w:lineRule="auto"/>
        <w:ind w:left="720" w:hanging="360"/>
        <w:jc w:val="both"/>
      </w:pPr>
      <w:r w:rsidRPr="00907B0F">
        <w:t xml:space="preserve">Reviewing more detailed information on a school-by-school basis, with a </w:t>
      </w:r>
      <w:r w:rsidR="00907B0F" w:rsidRPr="00907B0F">
        <w:t>focus</w:t>
      </w:r>
      <w:r w:rsidRPr="00907B0F">
        <w:t xml:space="preserve"> on the schools experiencing, or forecast to experience a budget deficit. Carrying out individual visits to schools, targeting those who have been most affected.</w:t>
      </w:r>
    </w:p>
    <w:p w14:paraId="69D6E9D2" w14:textId="77777777" w:rsidR="00895D45" w:rsidRPr="00907B0F" w:rsidRDefault="00895D45" w:rsidP="00942BAF">
      <w:pPr>
        <w:pStyle w:val="Default"/>
        <w:numPr>
          <w:ilvl w:val="0"/>
          <w:numId w:val="3"/>
        </w:numPr>
        <w:spacing w:after="33" w:line="276" w:lineRule="auto"/>
        <w:ind w:left="720" w:hanging="360"/>
        <w:jc w:val="both"/>
      </w:pPr>
      <w:r w:rsidRPr="00907B0F">
        <w:t xml:space="preserve">Working with analysts and officers in the council to address any gaps in the existing knowledge base. (Finance, Business Intelligence, School Standards and Pupil planning) </w:t>
      </w:r>
    </w:p>
    <w:p w14:paraId="74D51865" w14:textId="540540C4" w:rsidR="00895D45" w:rsidRPr="00907B0F" w:rsidRDefault="00895D45" w:rsidP="00942BAF">
      <w:pPr>
        <w:pStyle w:val="Default"/>
        <w:numPr>
          <w:ilvl w:val="0"/>
          <w:numId w:val="3"/>
        </w:numPr>
        <w:spacing w:after="33" w:line="276" w:lineRule="auto"/>
        <w:ind w:left="720" w:hanging="360"/>
        <w:jc w:val="both"/>
      </w:pPr>
      <w:r w:rsidRPr="00907B0F">
        <w:t>Engaging with the headteachers and governors to understand the factors impacting on budget pressures (</w:t>
      </w:r>
      <w:r w:rsidR="00907B0F" w:rsidRPr="00907B0F">
        <w:t>e.g.</w:t>
      </w:r>
      <w:r w:rsidRPr="00907B0F">
        <w:t xml:space="preserve"> Pupil Numbers, Staff Analysis, Expenditure and Income analysis)</w:t>
      </w:r>
    </w:p>
    <w:p w14:paraId="2E15C53E" w14:textId="77777777" w:rsidR="00895D45" w:rsidRPr="00907B0F" w:rsidRDefault="00895D45" w:rsidP="00942BAF">
      <w:pPr>
        <w:pStyle w:val="Default"/>
        <w:numPr>
          <w:ilvl w:val="0"/>
          <w:numId w:val="3"/>
        </w:numPr>
        <w:spacing w:after="33" w:line="276" w:lineRule="auto"/>
        <w:ind w:left="720" w:hanging="360"/>
        <w:jc w:val="both"/>
      </w:pPr>
      <w:r w:rsidRPr="00907B0F">
        <w:t xml:space="preserve">Interviews or planning workshops with key council officers, lead members and stakeholders to build the evidence base, understand the range of different perspectives and priorities and test possible ways of addressing the issues going forwards. </w:t>
      </w:r>
    </w:p>
    <w:p w14:paraId="143C9A64" w14:textId="77777777" w:rsidR="00895D45" w:rsidRPr="00907B0F" w:rsidRDefault="00895D45" w:rsidP="00942BAF">
      <w:pPr>
        <w:pStyle w:val="Default"/>
        <w:numPr>
          <w:ilvl w:val="0"/>
          <w:numId w:val="3"/>
        </w:numPr>
        <w:spacing w:after="33" w:line="276" w:lineRule="auto"/>
        <w:ind w:left="720" w:hanging="360"/>
      </w:pPr>
      <w:r w:rsidRPr="00907B0F">
        <w:t xml:space="preserve">A final workshop with schools and partners to present back issues and options and generate discussion about the way forward. </w:t>
      </w:r>
    </w:p>
    <w:p w14:paraId="2B9BB6FF" w14:textId="503448FA" w:rsidR="00895D45" w:rsidRPr="00907B0F" w:rsidRDefault="00895D45" w:rsidP="00942BAF">
      <w:pPr>
        <w:spacing w:line="276" w:lineRule="auto"/>
        <w:rPr>
          <w:rFonts w:asciiTheme="minorHAnsi" w:eastAsiaTheme="minorHAnsi" w:hAnsiTheme="minorHAnsi" w:cstheme="minorHAnsi"/>
        </w:rPr>
      </w:pPr>
    </w:p>
    <w:p w14:paraId="2C3AA7D6" w14:textId="1B462B30" w:rsidR="00BD707E" w:rsidRPr="00907B0F" w:rsidRDefault="00BD707E" w:rsidP="00942BAF">
      <w:pPr>
        <w:autoSpaceDE w:val="0"/>
        <w:autoSpaceDN w:val="0"/>
        <w:adjustRightInd w:val="0"/>
        <w:spacing w:line="276" w:lineRule="auto"/>
        <w:ind w:left="720" w:hanging="720"/>
        <w:jc w:val="both"/>
        <w:rPr>
          <w:rFonts w:asciiTheme="minorHAnsi" w:eastAsiaTheme="minorHAnsi" w:hAnsiTheme="minorHAnsi" w:cstheme="minorHAnsi"/>
          <w:b/>
          <w:bCs/>
        </w:rPr>
      </w:pPr>
    </w:p>
    <w:p w14:paraId="278C72BF" w14:textId="1FCDA5BE" w:rsidR="007A6E92" w:rsidRPr="00907B0F" w:rsidRDefault="007F0080" w:rsidP="00942BAF">
      <w:pPr>
        <w:pStyle w:val="ListParagraph"/>
        <w:numPr>
          <w:ilvl w:val="0"/>
          <w:numId w:val="2"/>
        </w:numPr>
        <w:autoSpaceDE w:val="0"/>
        <w:autoSpaceDN w:val="0"/>
        <w:adjustRightInd w:val="0"/>
        <w:spacing w:line="276" w:lineRule="auto"/>
        <w:jc w:val="both"/>
        <w:rPr>
          <w:rFonts w:asciiTheme="minorHAnsi" w:eastAsiaTheme="minorHAnsi" w:hAnsiTheme="minorHAnsi" w:cstheme="minorHAnsi"/>
          <w:b/>
          <w:bCs/>
        </w:rPr>
      </w:pPr>
      <w:r w:rsidRPr="00907B0F">
        <w:rPr>
          <w:rFonts w:asciiTheme="minorHAnsi" w:eastAsiaTheme="minorHAnsi" w:hAnsiTheme="minorHAnsi" w:cstheme="minorHAnsi"/>
          <w:b/>
          <w:bCs/>
        </w:rPr>
        <w:t>Proposal</w:t>
      </w:r>
    </w:p>
    <w:p w14:paraId="0280BC8A" w14:textId="588432F9" w:rsidR="007F0080" w:rsidRPr="00907B0F" w:rsidRDefault="007F0080" w:rsidP="00942BAF">
      <w:pPr>
        <w:autoSpaceDE w:val="0"/>
        <w:autoSpaceDN w:val="0"/>
        <w:adjustRightInd w:val="0"/>
        <w:spacing w:line="276" w:lineRule="auto"/>
        <w:jc w:val="both"/>
        <w:rPr>
          <w:rFonts w:asciiTheme="minorHAnsi" w:eastAsiaTheme="minorHAnsi" w:hAnsiTheme="minorHAnsi" w:cstheme="minorHAnsi"/>
          <w:b/>
          <w:bCs/>
        </w:rPr>
      </w:pPr>
    </w:p>
    <w:p w14:paraId="62A45A23" w14:textId="27DF481A" w:rsidR="007F0080" w:rsidRPr="00907B0F" w:rsidRDefault="007F0080" w:rsidP="00942BAF">
      <w:pPr>
        <w:pStyle w:val="ListParagraph"/>
        <w:numPr>
          <w:ilvl w:val="1"/>
          <w:numId w:val="2"/>
        </w:numPr>
        <w:autoSpaceDE w:val="0"/>
        <w:autoSpaceDN w:val="0"/>
        <w:adjustRightInd w:val="0"/>
        <w:spacing w:line="276" w:lineRule="auto"/>
        <w:ind w:left="709" w:hanging="709"/>
        <w:jc w:val="both"/>
        <w:rPr>
          <w:rFonts w:asciiTheme="minorHAnsi" w:eastAsiaTheme="minorHAnsi" w:hAnsiTheme="minorHAnsi" w:cstheme="minorHAnsi"/>
        </w:rPr>
      </w:pPr>
      <w:r w:rsidRPr="00907B0F">
        <w:rPr>
          <w:rFonts w:asciiTheme="minorHAnsi" w:eastAsiaTheme="minorHAnsi" w:hAnsiTheme="minorHAnsi" w:cstheme="minorHAnsi"/>
        </w:rPr>
        <w:t>To create and embed budgeting framework, supported by agreed principles, that allow for transparent, whole system planning for the future.</w:t>
      </w:r>
    </w:p>
    <w:p w14:paraId="3BDDE7E2" w14:textId="77777777" w:rsidR="007F0080" w:rsidRPr="00907B0F" w:rsidRDefault="007F0080" w:rsidP="00942BAF">
      <w:pPr>
        <w:autoSpaceDE w:val="0"/>
        <w:autoSpaceDN w:val="0"/>
        <w:adjustRightInd w:val="0"/>
        <w:spacing w:line="276" w:lineRule="auto"/>
        <w:jc w:val="both"/>
        <w:rPr>
          <w:rFonts w:asciiTheme="minorHAnsi" w:eastAsiaTheme="minorHAnsi" w:hAnsiTheme="minorHAnsi" w:cstheme="minorHAnsi"/>
        </w:rPr>
      </w:pPr>
    </w:p>
    <w:p w14:paraId="3D6AE08B" w14:textId="522BE30E" w:rsidR="007F0080" w:rsidRPr="00907B0F" w:rsidRDefault="007F0080" w:rsidP="00942BAF">
      <w:pPr>
        <w:pStyle w:val="ListParagraph"/>
        <w:numPr>
          <w:ilvl w:val="1"/>
          <w:numId w:val="2"/>
        </w:numPr>
        <w:autoSpaceDE w:val="0"/>
        <w:autoSpaceDN w:val="0"/>
        <w:adjustRightInd w:val="0"/>
        <w:spacing w:line="276" w:lineRule="auto"/>
        <w:ind w:left="709" w:hanging="709"/>
        <w:jc w:val="both"/>
        <w:rPr>
          <w:rFonts w:asciiTheme="minorHAnsi" w:eastAsiaTheme="minorHAnsi" w:hAnsiTheme="minorHAnsi" w:cstheme="minorHAnsi"/>
        </w:rPr>
      </w:pPr>
      <w:r w:rsidRPr="00907B0F">
        <w:rPr>
          <w:rFonts w:asciiTheme="minorHAnsi" w:eastAsiaTheme="minorHAnsi" w:hAnsiTheme="minorHAnsi" w:cstheme="minorHAnsi"/>
        </w:rPr>
        <w:tab/>
        <w:t xml:space="preserve">Use the </w:t>
      </w:r>
      <w:r w:rsidR="00907B0F" w:rsidRPr="00907B0F">
        <w:rPr>
          <w:rFonts w:asciiTheme="minorHAnsi" w:eastAsiaTheme="minorHAnsi" w:hAnsiTheme="minorHAnsi" w:cstheme="minorHAnsi"/>
        </w:rPr>
        <w:t>school’s</w:t>
      </w:r>
      <w:r w:rsidRPr="00907B0F">
        <w:rPr>
          <w:rFonts w:asciiTheme="minorHAnsi" w:eastAsiaTheme="minorHAnsi" w:hAnsiTheme="minorHAnsi" w:cstheme="minorHAnsi"/>
        </w:rPr>
        <w:t xml:space="preserve"> forum as a lever for challenge and change with the objective of improving financial planning/ admissions planning across the </w:t>
      </w:r>
      <w:r w:rsidR="00907B0F" w:rsidRPr="00907B0F">
        <w:rPr>
          <w:rFonts w:asciiTheme="minorHAnsi" w:eastAsiaTheme="minorHAnsi" w:hAnsiTheme="minorHAnsi" w:cstheme="minorHAnsi"/>
        </w:rPr>
        <w:t>school’s</w:t>
      </w:r>
      <w:r w:rsidRPr="00907B0F">
        <w:rPr>
          <w:rFonts w:asciiTheme="minorHAnsi" w:eastAsiaTheme="minorHAnsi" w:hAnsiTheme="minorHAnsi" w:cstheme="minorHAnsi"/>
        </w:rPr>
        <w:t xml:space="preserve"> system.</w:t>
      </w:r>
    </w:p>
    <w:p w14:paraId="3CA6254E" w14:textId="77777777" w:rsidR="007F0080" w:rsidRPr="00907B0F" w:rsidRDefault="007F0080" w:rsidP="00942BAF">
      <w:pPr>
        <w:pStyle w:val="ListParagraph"/>
        <w:spacing w:line="276" w:lineRule="auto"/>
        <w:rPr>
          <w:rFonts w:asciiTheme="minorHAnsi" w:eastAsiaTheme="minorHAnsi" w:hAnsiTheme="minorHAnsi" w:cstheme="minorHAnsi"/>
        </w:rPr>
      </w:pPr>
    </w:p>
    <w:p w14:paraId="68C06574" w14:textId="3BD10095" w:rsidR="007A6E92" w:rsidRPr="00907B0F" w:rsidRDefault="007F0080" w:rsidP="00942BAF">
      <w:pPr>
        <w:autoSpaceDE w:val="0"/>
        <w:autoSpaceDN w:val="0"/>
        <w:adjustRightInd w:val="0"/>
        <w:spacing w:line="276" w:lineRule="auto"/>
        <w:ind w:left="720" w:hanging="720"/>
        <w:jc w:val="both"/>
        <w:rPr>
          <w:rFonts w:asciiTheme="minorHAnsi" w:eastAsiaTheme="minorHAnsi" w:hAnsiTheme="minorHAnsi" w:cstheme="minorHAnsi"/>
        </w:rPr>
      </w:pPr>
      <w:r w:rsidRPr="00907B0F">
        <w:rPr>
          <w:rFonts w:asciiTheme="minorHAnsi" w:eastAsiaTheme="minorHAnsi" w:hAnsiTheme="minorHAnsi" w:cstheme="minorHAnsi"/>
        </w:rPr>
        <w:lastRenderedPageBreak/>
        <w:t>4.3</w:t>
      </w:r>
      <w:r w:rsidRPr="00907B0F">
        <w:rPr>
          <w:rFonts w:asciiTheme="minorHAnsi" w:eastAsiaTheme="minorHAnsi" w:hAnsiTheme="minorHAnsi" w:cstheme="minorHAnsi"/>
        </w:rPr>
        <w:tab/>
        <w:t xml:space="preserve">These additional resources will supplement existing resources drawn from Finance, </w:t>
      </w:r>
      <w:r w:rsidR="00907B0F" w:rsidRPr="00907B0F">
        <w:rPr>
          <w:rFonts w:asciiTheme="minorHAnsi" w:eastAsiaTheme="minorHAnsi" w:hAnsiTheme="minorHAnsi" w:cstheme="minorHAnsi"/>
        </w:rPr>
        <w:t>Business</w:t>
      </w:r>
      <w:r w:rsidRPr="00907B0F">
        <w:rPr>
          <w:rFonts w:asciiTheme="minorHAnsi" w:eastAsiaTheme="minorHAnsi" w:hAnsiTheme="minorHAnsi" w:cstheme="minorHAnsi"/>
        </w:rPr>
        <w:t xml:space="preserve"> Intelligence and Pupil planning.</w:t>
      </w:r>
    </w:p>
    <w:p w14:paraId="7966814D" w14:textId="77777777" w:rsidR="007F0080" w:rsidRPr="007A6E92" w:rsidRDefault="007F0080" w:rsidP="00942BAF">
      <w:pPr>
        <w:autoSpaceDE w:val="0"/>
        <w:autoSpaceDN w:val="0"/>
        <w:adjustRightInd w:val="0"/>
        <w:spacing w:line="276" w:lineRule="auto"/>
        <w:ind w:left="720" w:hanging="720"/>
        <w:jc w:val="both"/>
        <w:rPr>
          <w:rFonts w:asciiTheme="minorHAnsi" w:eastAsiaTheme="minorHAnsi" w:hAnsiTheme="minorHAnsi" w:cstheme="minorHAnsi"/>
        </w:rPr>
      </w:pPr>
    </w:p>
    <w:p w14:paraId="374E36F2" w14:textId="0223498D" w:rsidR="00331C7B" w:rsidRPr="00907B0F" w:rsidRDefault="00907B0F" w:rsidP="00942BAF">
      <w:pPr>
        <w:pStyle w:val="paragraph"/>
        <w:numPr>
          <w:ilvl w:val="1"/>
          <w:numId w:val="6"/>
        </w:numPr>
        <w:spacing w:line="276" w:lineRule="auto"/>
        <w:ind w:left="709" w:hanging="709"/>
        <w:jc w:val="both"/>
        <w:textAlignment w:val="baseline"/>
        <w:rPr>
          <w:rFonts w:asciiTheme="minorHAnsi" w:hAnsiTheme="minorHAnsi" w:cstheme="minorHAnsi"/>
        </w:rPr>
      </w:pPr>
      <w:r w:rsidRPr="00907B0F">
        <w:rPr>
          <w:rFonts w:asciiTheme="minorHAnsi" w:hAnsiTheme="minorHAnsi" w:cstheme="minorHAnsi"/>
        </w:rPr>
        <w:t>The development of a full options appraisal for future options for consideration by officers, members and schools.</w:t>
      </w:r>
    </w:p>
    <w:p w14:paraId="0C49CFCC" w14:textId="77777777" w:rsidR="007F0080" w:rsidRPr="00532E66" w:rsidRDefault="007F0080" w:rsidP="00942BAF">
      <w:pPr>
        <w:pStyle w:val="paragraph"/>
        <w:spacing w:line="276" w:lineRule="auto"/>
        <w:ind w:left="720" w:hanging="720"/>
        <w:jc w:val="both"/>
        <w:textAlignment w:val="baseline"/>
        <w:rPr>
          <w:rFonts w:ascii="Arial" w:hAnsi="Arial" w:cs="Arial"/>
        </w:rPr>
      </w:pPr>
    </w:p>
    <w:p w14:paraId="225DF05B" w14:textId="3C2220C9" w:rsidR="00331C7B" w:rsidRDefault="00331C7B" w:rsidP="00942BAF">
      <w:pPr>
        <w:autoSpaceDE w:val="0"/>
        <w:autoSpaceDN w:val="0"/>
        <w:adjustRightInd w:val="0"/>
        <w:spacing w:line="276" w:lineRule="auto"/>
        <w:ind w:left="720" w:right="95" w:hanging="720"/>
        <w:jc w:val="both"/>
        <w:rPr>
          <w:rFonts w:ascii="Arial" w:hAnsi="Arial" w:cs="Arial"/>
          <w:color w:val="000000"/>
          <w:lang w:eastAsia="en-GB"/>
        </w:rPr>
      </w:pPr>
    </w:p>
    <w:p w14:paraId="4FF56398" w14:textId="2006CAFF" w:rsidR="00331C7B" w:rsidRPr="00DA1D9A" w:rsidRDefault="00331C7B" w:rsidP="00983FEF">
      <w:pPr>
        <w:autoSpaceDE w:val="0"/>
        <w:autoSpaceDN w:val="0"/>
        <w:adjustRightInd w:val="0"/>
        <w:spacing w:line="276" w:lineRule="auto"/>
        <w:ind w:right="95"/>
        <w:jc w:val="both"/>
        <w:rPr>
          <w:rFonts w:ascii="Arial" w:hAnsi="Arial" w:cs="Arial"/>
          <w:b/>
        </w:rPr>
      </w:pPr>
      <w:r w:rsidRPr="009C6764">
        <w:rPr>
          <w:rFonts w:ascii="Arial" w:hAnsi="Arial" w:cs="Arial"/>
          <w:color w:val="000000"/>
          <w:lang w:eastAsia="en-GB"/>
        </w:rPr>
        <w:t xml:space="preserve"> </w:t>
      </w:r>
    </w:p>
    <w:p w14:paraId="054AC25D" w14:textId="0F73DD55" w:rsidR="00907B0F" w:rsidRPr="00907B0F" w:rsidRDefault="00907B0F" w:rsidP="00942BAF">
      <w:pPr>
        <w:autoSpaceDE w:val="0"/>
        <w:autoSpaceDN w:val="0"/>
        <w:adjustRightInd w:val="0"/>
        <w:spacing w:line="276" w:lineRule="auto"/>
        <w:jc w:val="center"/>
        <w:rPr>
          <w:rFonts w:ascii="Arial" w:hAnsi="Arial" w:cs="Arial"/>
          <w:b/>
          <w:bCs/>
          <w:color w:val="000000"/>
        </w:rPr>
      </w:pPr>
      <w:r w:rsidRPr="00907B0F">
        <w:rPr>
          <w:rFonts w:ascii="Arial" w:hAnsi="Arial" w:cs="Arial"/>
          <w:b/>
          <w:bCs/>
          <w:color w:val="000000"/>
        </w:rPr>
        <w:t>An</w:t>
      </w:r>
      <w:r>
        <w:rPr>
          <w:rFonts w:ascii="Arial" w:hAnsi="Arial" w:cs="Arial"/>
          <w:b/>
          <w:bCs/>
          <w:color w:val="000000"/>
        </w:rPr>
        <w:t>drew Tagg</w:t>
      </w:r>
    </w:p>
    <w:p w14:paraId="200F21E9" w14:textId="61EB5579" w:rsidR="00907B0F" w:rsidRPr="00907B0F" w:rsidRDefault="00907B0F" w:rsidP="00942BAF">
      <w:pPr>
        <w:autoSpaceDE w:val="0"/>
        <w:autoSpaceDN w:val="0"/>
        <w:adjustRightInd w:val="0"/>
        <w:spacing w:line="276" w:lineRule="auto"/>
        <w:jc w:val="center"/>
        <w:rPr>
          <w:rFonts w:ascii="Arial" w:hAnsi="Arial" w:cs="Arial"/>
          <w:b/>
          <w:bCs/>
          <w:color w:val="000000"/>
        </w:rPr>
      </w:pPr>
      <w:r>
        <w:rPr>
          <w:rFonts w:ascii="Arial" w:hAnsi="Arial" w:cs="Arial"/>
          <w:b/>
          <w:bCs/>
          <w:color w:val="000000"/>
        </w:rPr>
        <w:t>Director of Operations and Programmes</w:t>
      </w:r>
      <w:r w:rsidRPr="00907B0F">
        <w:rPr>
          <w:rFonts w:ascii="Arial" w:hAnsi="Arial" w:cs="Arial"/>
          <w:b/>
          <w:bCs/>
          <w:color w:val="000000"/>
        </w:rPr>
        <w:t xml:space="preserve"> – Bi-Borough Children’s Services</w:t>
      </w:r>
    </w:p>
    <w:p w14:paraId="7F949CFD" w14:textId="77777777" w:rsidR="00907B0F" w:rsidRPr="00907B0F" w:rsidRDefault="00907B0F" w:rsidP="00942BAF">
      <w:pPr>
        <w:autoSpaceDE w:val="0"/>
        <w:autoSpaceDN w:val="0"/>
        <w:adjustRightInd w:val="0"/>
        <w:spacing w:line="276" w:lineRule="auto"/>
        <w:jc w:val="center"/>
        <w:rPr>
          <w:rFonts w:ascii="Arial" w:hAnsi="Arial" w:cs="Arial"/>
          <w:color w:val="000000"/>
        </w:rPr>
      </w:pPr>
    </w:p>
    <w:p w14:paraId="0357A2B4" w14:textId="4CD759D0" w:rsidR="00907B0F" w:rsidRPr="00907B0F" w:rsidRDefault="00907B0F" w:rsidP="00942BAF">
      <w:pPr>
        <w:spacing w:line="276" w:lineRule="auto"/>
        <w:contextualSpacing/>
        <w:jc w:val="center"/>
        <w:rPr>
          <w:rFonts w:ascii="Arial" w:hAnsi="Arial" w:cs="Arial"/>
          <w:b/>
        </w:rPr>
      </w:pPr>
      <w:r>
        <w:rPr>
          <w:rFonts w:ascii="Arial" w:hAnsi="Arial" w:cs="Arial"/>
          <w:b/>
        </w:rPr>
        <w:t>Sarah Newman</w:t>
      </w:r>
    </w:p>
    <w:p w14:paraId="5409928E" w14:textId="77777777" w:rsidR="00907B0F" w:rsidRPr="00907B0F" w:rsidRDefault="00907B0F" w:rsidP="00942BAF">
      <w:pPr>
        <w:spacing w:line="276" w:lineRule="auto"/>
        <w:contextualSpacing/>
        <w:jc w:val="center"/>
        <w:rPr>
          <w:rFonts w:ascii="Arial" w:hAnsi="Arial" w:cs="Arial"/>
          <w:b/>
        </w:rPr>
      </w:pPr>
      <w:r w:rsidRPr="00907B0F">
        <w:rPr>
          <w:rFonts w:ascii="Arial" w:hAnsi="Arial" w:cs="Arial"/>
          <w:b/>
        </w:rPr>
        <w:t>Bi-Borough Executive Director – Children’s Services</w:t>
      </w:r>
    </w:p>
    <w:p w14:paraId="0E483026" w14:textId="77777777" w:rsidR="00907B0F" w:rsidRPr="00907B0F" w:rsidRDefault="00907B0F" w:rsidP="00942BAF">
      <w:pPr>
        <w:autoSpaceDE w:val="0"/>
        <w:autoSpaceDN w:val="0"/>
        <w:adjustRightInd w:val="0"/>
        <w:spacing w:line="276" w:lineRule="auto"/>
        <w:ind w:left="360"/>
        <w:rPr>
          <w:rFonts w:ascii="Arial" w:hAnsi="Arial" w:cs="Arial"/>
          <w:b/>
          <w:bCs/>
          <w:color w:val="000000"/>
          <w:highlight w:val="yellow"/>
        </w:rPr>
      </w:pPr>
    </w:p>
    <w:p w14:paraId="4E23DF2A" w14:textId="77777777" w:rsidR="007800D9" w:rsidRDefault="007800D9"/>
    <w:sectPr w:rsidR="007800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E145" w14:textId="77777777" w:rsidR="00E14E21" w:rsidRDefault="00E14E21" w:rsidP="00FD7D6C">
      <w:r>
        <w:separator/>
      </w:r>
    </w:p>
  </w:endnote>
  <w:endnote w:type="continuationSeparator" w:id="0">
    <w:p w14:paraId="177CCEEA" w14:textId="77777777" w:rsidR="00E14E21" w:rsidRDefault="00E14E21" w:rsidP="00FD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248082"/>
      <w:docPartObj>
        <w:docPartGallery w:val="Page Numbers (Bottom of Page)"/>
        <w:docPartUnique/>
      </w:docPartObj>
    </w:sdtPr>
    <w:sdtEndPr>
      <w:rPr>
        <w:noProof/>
      </w:rPr>
    </w:sdtEndPr>
    <w:sdtContent>
      <w:p w14:paraId="5745772A" w14:textId="62F08DD6" w:rsidR="00FD7D6C" w:rsidRDefault="00FD7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84037" w14:textId="77777777" w:rsidR="00FD7D6C" w:rsidRDefault="00FD7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96A8" w14:textId="77777777" w:rsidR="00E14E21" w:rsidRDefault="00E14E21" w:rsidP="00FD7D6C">
      <w:r>
        <w:separator/>
      </w:r>
    </w:p>
  </w:footnote>
  <w:footnote w:type="continuationSeparator" w:id="0">
    <w:p w14:paraId="2185A1A1" w14:textId="77777777" w:rsidR="00E14E21" w:rsidRDefault="00E14E21" w:rsidP="00FD7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52DA"/>
    <w:multiLevelType w:val="multilevel"/>
    <w:tmpl w:val="2FD2DB40"/>
    <w:lvl w:ilvl="0">
      <w:start w:val="1"/>
      <w:numFmt w:val="decimal"/>
      <w:lvlText w:val="%1."/>
      <w:lvlJc w:val="left"/>
      <w:pPr>
        <w:ind w:left="930" w:hanging="570"/>
      </w:pPr>
      <w:rPr>
        <w:rFonts w:hint="default"/>
      </w:rPr>
    </w:lvl>
    <w:lvl w:ilvl="1">
      <w:start w:val="2"/>
      <w:numFmt w:val="decimal"/>
      <w:lvlText w:val="%1.%2"/>
      <w:lvlJc w:val="left"/>
      <w:pPr>
        <w:ind w:left="1080" w:hanging="720"/>
      </w:pPr>
      <w:rPr>
        <w:color w:val="auto"/>
        <w:sz w:val="24"/>
      </w:rPr>
    </w:lvl>
    <w:lvl w:ilvl="2">
      <w:start w:val="1"/>
      <w:numFmt w:val="decimal"/>
      <w:lvlText w:val="%1.%2.%3"/>
      <w:lvlJc w:val="left"/>
      <w:pPr>
        <w:ind w:left="1440" w:hanging="1080"/>
      </w:pPr>
      <w:rPr>
        <w:color w:val="auto"/>
        <w:sz w:val="24"/>
      </w:rPr>
    </w:lvl>
    <w:lvl w:ilvl="3">
      <w:start w:val="1"/>
      <w:numFmt w:val="decimal"/>
      <w:lvlText w:val="%1.%2.%3.%4"/>
      <w:lvlJc w:val="left"/>
      <w:pPr>
        <w:ind w:left="1440" w:hanging="1080"/>
      </w:pPr>
      <w:rPr>
        <w:color w:val="auto"/>
        <w:sz w:val="24"/>
      </w:rPr>
    </w:lvl>
    <w:lvl w:ilvl="4">
      <w:start w:val="1"/>
      <w:numFmt w:val="decimal"/>
      <w:lvlText w:val="%1.%2.%3.%4.%5"/>
      <w:lvlJc w:val="left"/>
      <w:pPr>
        <w:ind w:left="1800" w:hanging="1440"/>
      </w:pPr>
      <w:rPr>
        <w:color w:val="auto"/>
        <w:sz w:val="24"/>
      </w:rPr>
    </w:lvl>
    <w:lvl w:ilvl="5">
      <w:start w:val="1"/>
      <w:numFmt w:val="decimal"/>
      <w:lvlText w:val="%1.%2.%3.%4.%5.%6"/>
      <w:lvlJc w:val="left"/>
      <w:pPr>
        <w:ind w:left="2160" w:hanging="1800"/>
      </w:pPr>
      <w:rPr>
        <w:color w:val="auto"/>
        <w:sz w:val="24"/>
      </w:rPr>
    </w:lvl>
    <w:lvl w:ilvl="6">
      <w:start w:val="1"/>
      <w:numFmt w:val="decimal"/>
      <w:lvlText w:val="%1.%2.%3.%4.%5.%6.%7"/>
      <w:lvlJc w:val="left"/>
      <w:pPr>
        <w:ind w:left="2520" w:hanging="2160"/>
      </w:pPr>
      <w:rPr>
        <w:color w:val="auto"/>
        <w:sz w:val="24"/>
      </w:rPr>
    </w:lvl>
    <w:lvl w:ilvl="7">
      <w:start w:val="1"/>
      <w:numFmt w:val="decimal"/>
      <w:lvlText w:val="%1.%2.%3.%4.%5.%6.%7.%8"/>
      <w:lvlJc w:val="left"/>
      <w:pPr>
        <w:ind w:left="2880" w:hanging="2520"/>
      </w:pPr>
      <w:rPr>
        <w:color w:val="auto"/>
        <w:sz w:val="24"/>
      </w:rPr>
    </w:lvl>
    <w:lvl w:ilvl="8">
      <w:start w:val="1"/>
      <w:numFmt w:val="decimal"/>
      <w:lvlText w:val="%1.%2.%3.%4.%5.%6.%7.%8.%9"/>
      <w:lvlJc w:val="left"/>
      <w:pPr>
        <w:ind w:left="2880" w:hanging="2520"/>
      </w:pPr>
      <w:rPr>
        <w:color w:val="auto"/>
        <w:sz w:val="24"/>
      </w:rPr>
    </w:lvl>
  </w:abstractNum>
  <w:abstractNum w:abstractNumId="1" w15:restartNumberingAfterBreak="0">
    <w:nsid w:val="47235AD3"/>
    <w:multiLevelType w:val="hybridMultilevel"/>
    <w:tmpl w:val="0E960F4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D4113"/>
    <w:multiLevelType w:val="hybridMultilevel"/>
    <w:tmpl w:val="851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D19D3"/>
    <w:multiLevelType w:val="multilevel"/>
    <w:tmpl w:val="B8F4EE1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C38131F"/>
    <w:multiLevelType w:val="hybridMultilevel"/>
    <w:tmpl w:val="8BD0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A2A7A"/>
    <w:multiLevelType w:val="hybridMultilevel"/>
    <w:tmpl w:val="9B18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F66F5"/>
    <w:multiLevelType w:val="multilevel"/>
    <w:tmpl w:val="1258FF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7B"/>
    <w:rsid w:val="00111FFF"/>
    <w:rsid w:val="00136BA1"/>
    <w:rsid w:val="00222AF2"/>
    <w:rsid w:val="002B0409"/>
    <w:rsid w:val="002F013C"/>
    <w:rsid w:val="00331C7B"/>
    <w:rsid w:val="00447B24"/>
    <w:rsid w:val="005F1DB5"/>
    <w:rsid w:val="00686D57"/>
    <w:rsid w:val="007800D9"/>
    <w:rsid w:val="007A6E92"/>
    <w:rsid w:val="007F0080"/>
    <w:rsid w:val="0087773D"/>
    <w:rsid w:val="008833DA"/>
    <w:rsid w:val="00895D45"/>
    <w:rsid w:val="008E4B40"/>
    <w:rsid w:val="00907B0F"/>
    <w:rsid w:val="00942BAF"/>
    <w:rsid w:val="00983FEF"/>
    <w:rsid w:val="00986702"/>
    <w:rsid w:val="009C32B8"/>
    <w:rsid w:val="009D4C4A"/>
    <w:rsid w:val="00BD707E"/>
    <w:rsid w:val="00BF5D71"/>
    <w:rsid w:val="00BF7682"/>
    <w:rsid w:val="00C10158"/>
    <w:rsid w:val="00CF7D15"/>
    <w:rsid w:val="00D61427"/>
    <w:rsid w:val="00DD5300"/>
    <w:rsid w:val="00E01138"/>
    <w:rsid w:val="00E060A5"/>
    <w:rsid w:val="00E14E21"/>
    <w:rsid w:val="00FD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9945"/>
  <w15:chartTrackingRefBased/>
  <w15:docId w15:val="{171E7FB0-C343-43C3-8859-CA6C871D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C7B"/>
    <w:pPr>
      <w:spacing w:after="0" w:line="240" w:lineRule="auto"/>
    </w:pPr>
    <w:rPr>
      <w:rFonts w:ascii="Calibri" w:eastAsia="Calibri" w:hAnsi="Calibri" w:cs="Times New Roman"/>
      <w:sz w:val="24"/>
      <w:szCs w:val="24"/>
    </w:rPr>
  </w:style>
  <w:style w:type="paragraph" w:styleId="Heading4">
    <w:name w:val="heading 4"/>
    <w:basedOn w:val="Normal"/>
    <w:link w:val="Heading4Char"/>
    <w:uiPriority w:val="9"/>
    <w:unhideWhenUsed/>
    <w:qFormat/>
    <w:rsid w:val="00136BA1"/>
    <w:pPr>
      <w:keepNext/>
      <w:overflowPunct w:val="0"/>
      <w:autoSpaceDE w:val="0"/>
      <w:autoSpaceDN w:val="0"/>
      <w:jc w:val="right"/>
      <w:outlineLvl w:val="3"/>
    </w:pPr>
    <w:rPr>
      <w:rFonts w:ascii="Verdana" w:eastAsiaTheme="minorHAnsi" w:hAnsi="Verdana"/>
      <w:i/>
      <w:i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Bullet Points,MAIN CONTENT"/>
    <w:basedOn w:val="Normal"/>
    <w:link w:val="ListParagraphChar"/>
    <w:uiPriority w:val="34"/>
    <w:qFormat/>
    <w:rsid w:val="00331C7B"/>
    <w:pPr>
      <w:ind w:left="720"/>
      <w:contextualSpacing/>
    </w:pPr>
  </w:style>
  <w:style w:type="paragraph" w:customStyle="1" w:styleId="paragraph">
    <w:name w:val="paragraph"/>
    <w:basedOn w:val="Normal"/>
    <w:rsid w:val="00331C7B"/>
    <w:rPr>
      <w:rFonts w:ascii="Times New Roman" w:eastAsia="Times New Roman" w:hAnsi="Times New Roman"/>
      <w:lang w:eastAsia="en-GB"/>
    </w:rPr>
  </w:style>
  <w:style w:type="paragraph" w:customStyle="1" w:styleId="Default">
    <w:name w:val="Default"/>
    <w:rsid w:val="00895D4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F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D6C"/>
    <w:pPr>
      <w:tabs>
        <w:tab w:val="center" w:pos="4513"/>
        <w:tab w:val="right" w:pos="9026"/>
      </w:tabs>
    </w:pPr>
  </w:style>
  <w:style w:type="character" w:customStyle="1" w:styleId="HeaderChar">
    <w:name w:val="Header Char"/>
    <w:basedOn w:val="DefaultParagraphFont"/>
    <w:link w:val="Header"/>
    <w:uiPriority w:val="99"/>
    <w:rsid w:val="00FD7D6C"/>
    <w:rPr>
      <w:rFonts w:ascii="Calibri" w:eastAsia="Calibri" w:hAnsi="Calibri" w:cs="Times New Roman"/>
      <w:sz w:val="24"/>
      <w:szCs w:val="24"/>
    </w:rPr>
  </w:style>
  <w:style w:type="paragraph" w:styleId="Footer">
    <w:name w:val="footer"/>
    <w:basedOn w:val="Normal"/>
    <w:link w:val="FooterChar"/>
    <w:uiPriority w:val="99"/>
    <w:unhideWhenUsed/>
    <w:rsid w:val="00FD7D6C"/>
    <w:pPr>
      <w:tabs>
        <w:tab w:val="center" w:pos="4513"/>
        <w:tab w:val="right" w:pos="9026"/>
      </w:tabs>
    </w:pPr>
  </w:style>
  <w:style w:type="character" w:customStyle="1" w:styleId="FooterChar">
    <w:name w:val="Footer Char"/>
    <w:basedOn w:val="DefaultParagraphFont"/>
    <w:link w:val="Footer"/>
    <w:uiPriority w:val="99"/>
    <w:rsid w:val="00FD7D6C"/>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9C3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B8"/>
    <w:rPr>
      <w:rFonts w:ascii="Segoe UI" w:eastAsia="Calibri" w:hAnsi="Segoe UI" w:cs="Segoe UI"/>
      <w:sz w:val="18"/>
      <w:szCs w:val="18"/>
    </w:rPr>
  </w:style>
  <w:style w:type="character" w:customStyle="1" w:styleId="normaltextrun1">
    <w:name w:val="normaltextrun1"/>
    <w:basedOn w:val="DefaultParagraphFont"/>
    <w:rsid w:val="00DD5300"/>
  </w:style>
  <w:style w:type="character" w:customStyle="1" w:styleId="Heading4Char">
    <w:name w:val="Heading 4 Char"/>
    <w:basedOn w:val="DefaultParagraphFont"/>
    <w:link w:val="Heading4"/>
    <w:uiPriority w:val="9"/>
    <w:rsid w:val="00136BA1"/>
    <w:rPr>
      <w:rFonts w:ascii="Verdana" w:hAnsi="Verdana" w:cs="Times New Roman"/>
      <w:i/>
      <w:iCs/>
      <w:lang w:eastAsia="en-GB"/>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
    <w:link w:val="ListParagraph"/>
    <w:uiPriority w:val="34"/>
    <w:locked/>
    <w:rsid w:val="00136BA1"/>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E1B71C9A5634C8942A3C08D7BF60A" ma:contentTypeVersion="6" ma:contentTypeDescription="Create a new document." ma:contentTypeScope="" ma:versionID="76ccf51a76e15a5e1d9ec144f4eb4dde">
  <xsd:schema xmlns:xsd="http://www.w3.org/2001/XMLSchema" xmlns:xs="http://www.w3.org/2001/XMLSchema" xmlns:p="http://schemas.microsoft.com/office/2006/metadata/properties" xmlns:ns2="13d6d765-1e35-4a38-b74c-9e28df5f772d" xmlns:ns3="5150132b-9f32-4743-a349-f70c20080b32" targetNamespace="http://schemas.microsoft.com/office/2006/metadata/properties" ma:root="true" ma:fieldsID="2dd2ebf5351f4435f1a72550c200f72e" ns2:_="" ns3:_="">
    <xsd:import namespace="13d6d765-1e35-4a38-b74c-9e28df5f772d"/>
    <xsd:import namespace="5150132b-9f32-4743-a349-f70c20080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6d765-1e35-4a38-b74c-9e28df5f7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50132b-9f32-4743-a349-f70c20080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DEBC8-E4F4-40BC-8528-62FDA1279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6d765-1e35-4a38-b74c-9e28df5f772d"/>
    <ds:schemaRef ds:uri="5150132b-9f32-4743-a349-f70c2008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6CFB9-E9A6-4500-88DC-0203AEF5865F}">
  <ds:schemaRefs>
    <ds:schemaRef ds:uri="http://schemas.microsoft.com/sharepoint/v3/contenttype/forms"/>
  </ds:schemaRefs>
</ds:datastoreItem>
</file>

<file path=customXml/itemProps3.xml><?xml version="1.0" encoding="utf-8"?>
<ds:datastoreItem xmlns:ds="http://schemas.openxmlformats.org/officeDocument/2006/customXml" ds:itemID="{E49DDA1C-0CC1-4A64-8F39-44CA01A0E45B}">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13d6d765-1e35-4a38-b74c-9e28df5f772d"/>
    <ds:schemaRef ds:uri="5150132b-9f32-4743-a349-f70c20080b3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Tagg, Andrew: CS: RBKC</dc:creator>
  <cp:keywords/>
  <dc:description/>
  <cp:lastModifiedBy>Stokes, Anita: WCC</cp:lastModifiedBy>
  <cp:revision>2</cp:revision>
  <dcterms:created xsi:type="dcterms:W3CDTF">2020-05-21T18:32:00Z</dcterms:created>
  <dcterms:modified xsi:type="dcterms:W3CDTF">2020-05-21T18:32:00Z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0x010100128E1B71C9A5634C8942A3C08D7BF60A</vt:lpwstr>
  </property>
</Properties>
</file>