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55AF1" w14:textId="77777777" w:rsidR="00D223AD" w:rsidRDefault="00F82C24" w:rsidP="0061748F">
      <w:pPr>
        <w:pStyle w:val="NoSpacing"/>
        <w:jc w:val="right"/>
        <w:rPr>
          <w:noProof/>
        </w:rPr>
      </w:pPr>
      <w:r>
        <w:rPr>
          <w:noProof/>
        </w:rPr>
        <w:drawing>
          <wp:inline distT="0" distB="0" distL="0" distR="0" wp14:anchorId="0DE08B35" wp14:editId="7A49180A">
            <wp:extent cx="3585550" cy="847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PE_logo mai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31673" cy="882273"/>
                    </a:xfrm>
                    <a:prstGeom prst="rect">
                      <a:avLst/>
                    </a:prstGeom>
                  </pic:spPr>
                </pic:pic>
              </a:graphicData>
            </a:graphic>
          </wp:inline>
        </w:drawing>
      </w:r>
    </w:p>
    <w:p w14:paraId="4C7EAF29" w14:textId="77777777" w:rsidR="00F82C24" w:rsidRDefault="00F82C24" w:rsidP="00D223AD">
      <w:pPr>
        <w:ind w:left="0" w:firstLine="0"/>
        <w:rPr>
          <w:noProof/>
        </w:rPr>
      </w:pPr>
    </w:p>
    <w:p w14:paraId="3312890B" w14:textId="77777777" w:rsidR="00F82C24" w:rsidRDefault="00F82C24" w:rsidP="00D223AD">
      <w:pPr>
        <w:ind w:left="0" w:firstLine="0"/>
        <w:rPr>
          <w:noProof/>
        </w:rPr>
      </w:pPr>
    </w:p>
    <w:p w14:paraId="692039F8" w14:textId="77777777" w:rsidR="00F82C24" w:rsidRDefault="00F82C24" w:rsidP="00D223AD">
      <w:pPr>
        <w:ind w:left="0" w:firstLine="0"/>
        <w:rPr>
          <w:noProof/>
        </w:rPr>
      </w:pPr>
    </w:p>
    <w:p w14:paraId="145CCA2B" w14:textId="77777777" w:rsidR="00F82C24" w:rsidRDefault="00F82C24" w:rsidP="00D223AD">
      <w:pPr>
        <w:ind w:left="0" w:firstLine="0"/>
        <w:rPr>
          <w:noProof/>
          <w:sz w:val="40"/>
          <w:szCs w:val="40"/>
        </w:rPr>
      </w:pPr>
    </w:p>
    <w:p w14:paraId="46C49CC0" w14:textId="77777777" w:rsidR="00F82C24" w:rsidRDefault="00F82C24" w:rsidP="00D223AD">
      <w:pPr>
        <w:ind w:left="0" w:firstLine="0"/>
        <w:rPr>
          <w:noProof/>
          <w:sz w:val="40"/>
          <w:szCs w:val="40"/>
        </w:rPr>
      </w:pPr>
    </w:p>
    <w:p w14:paraId="7FBE5660" w14:textId="77777777" w:rsidR="00F82C24" w:rsidRDefault="00F82C24" w:rsidP="00D223AD">
      <w:pPr>
        <w:ind w:left="0" w:firstLine="0"/>
        <w:rPr>
          <w:noProof/>
          <w:sz w:val="40"/>
          <w:szCs w:val="40"/>
        </w:rPr>
      </w:pPr>
    </w:p>
    <w:p w14:paraId="44049EE8" w14:textId="77777777" w:rsidR="00F82C24" w:rsidRPr="00413C57" w:rsidRDefault="00F82C24" w:rsidP="00413C57">
      <w:pPr>
        <w:ind w:left="0" w:firstLine="0"/>
        <w:jc w:val="center"/>
        <w:rPr>
          <w:b/>
          <w:noProof/>
          <w:color w:val="808080" w:themeColor="background1" w:themeShade="80"/>
          <w:sz w:val="56"/>
          <w:szCs w:val="56"/>
        </w:rPr>
      </w:pPr>
    </w:p>
    <w:p w14:paraId="0050F1D8" w14:textId="77777777" w:rsidR="00E014E4" w:rsidRDefault="00E014E4" w:rsidP="00D223AD">
      <w:pPr>
        <w:ind w:left="0" w:firstLine="0"/>
        <w:rPr>
          <w:noProof/>
          <w:sz w:val="40"/>
          <w:szCs w:val="40"/>
        </w:rPr>
      </w:pPr>
    </w:p>
    <w:p w14:paraId="3C5A8A7D" w14:textId="77777777" w:rsidR="00637318" w:rsidRDefault="00637318" w:rsidP="00D223AD">
      <w:pPr>
        <w:ind w:left="0" w:firstLine="0"/>
        <w:rPr>
          <w:b/>
          <w:noProof/>
          <w:sz w:val="40"/>
          <w:szCs w:val="40"/>
        </w:rPr>
      </w:pPr>
    </w:p>
    <w:p w14:paraId="787FBEE4" w14:textId="77777777" w:rsidR="00637318" w:rsidRDefault="00637318" w:rsidP="00D223AD">
      <w:pPr>
        <w:ind w:left="0" w:firstLine="0"/>
        <w:rPr>
          <w:b/>
          <w:noProof/>
          <w:sz w:val="40"/>
          <w:szCs w:val="40"/>
        </w:rPr>
      </w:pPr>
    </w:p>
    <w:p w14:paraId="57CB251E" w14:textId="77777777" w:rsidR="00352723" w:rsidRDefault="00F82C24" w:rsidP="004E55A6">
      <w:pPr>
        <w:ind w:left="0" w:firstLine="0"/>
        <w:jc w:val="center"/>
        <w:rPr>
          <w:b/>
          <w:noProof/>
          <w:sz w:val="40"/>
          <w:szCs w:val="40"/>
        </w:rPr>
      </w:pPr>
      <w:r w:rsidRPr="00F82C24">
        <w:rPr>
          <w:b/>
          <w:noProof/>
          <w:sz w:val="40"/>
          <w:szCs w:val="40"/>
        </w:rPr>
        <w:t xml:space="preserve">Report on </w:t>
      </w:r>
      <w:r w:rsidR="004374E5">
        <w:rPr>
          <w:b/>
          <w:noProof/>
          <w:sz w:val="40"/>
          <w:szCs w:val="40"/>
        </w:rPr>
        <w:t xml:space="preserve">Fitzrovia West </w:t>
      </w:r>
      <w:r w:rsidR="004E55A6">
        <w:rPr>
          <w:b/>
          <w:noProof/>
          <w:sz w:val="40"/>
          <w:szCs w:val="40"/>
        </w:rPr>
        <w:t xml:space="preserve">Neighbourhood Plan </w:t>
      </w:r>
    </w:p>
    <w:p w14:paraId="275BC625" w14:textId="77777777" w:rsidR="00F82C24" w:rsidRPr="00F82C24" w:rsidRDefault="004E55A6" w:rsidP="004E55A6">
      <w:pPr>
        <w:ind w:left="0" w:firstLine="0"/>
        <w:jc w:val="center"/>
        <w:rPr>
          <w:b/>
          <w:sz w:val="40"/>
          <w:szCs w:val="40"/>
        </w:rPr>
      </w:pPr>
      <w:r>
        <w:rPr>
          <w:b/>
          <w:noProof/>
          <w:sz w:val="40"/>
          <w:szCs w:val="40"/>
        </w:rPr>
        <w:t>20</w:t>
      </w:r>
      <w:r w:rsidR="004374E5">
        <w:rPr>
          <w:b/>
          <w:noProof/>
          <w:sz w:val="40"/>
          <w:szCs w:val="40"/>
        </w:rPr>
        <w:t>20</w:t>
      </w:r>
      <w:r>
        <w:rPr>
          <w:b/>
          <w:noProof/>
          <w:sz w:val="40"/>
          <w:szCs w:val="40"/>
        </w:rPr>
        <w:t>-20</w:t>
      </w:r>
      <w:r w:rsidR="004374E5">
        <w:rPr>
          <w:b/>
          <w:noProof/>
          <w:sz w:val="40"/>
          <w:szCs w:val="40"/>
        </w:rPr>
        <w:t>40</w:t>
      </w:r>
    </w:p>
    <w:p w14:paraId="06CD2F8B" w14:textId="77777777" w:rsidR="00F82C24" w:rsidRDefault="00F82C24">
      <w:pPr>
        <w:spacing w:after="160" w:line="259" w:lineRule="auto"/>
        <w:ind w:left="0" w:firstLine="0"/>
        <w:jc w:val="left"/>
      </w:pPr>
    </w:p>
    <w:p w14:paraId="08A5A085" w14:textId="77777777" w:rsidR="00F82C24" w:rsidRDefault="00F82C24">
      <w:pPr>
        <w:spacing w:after="160" w:line="259" w:lineRule="auto"/>
        <w:ind w:left="0" w:firstLine="0"/>
        <w:jc w:val="left"/>
      </w:pPr>
    </w:p>
    <w:p w14:paraId="550BCA8F" w14:textId="77777777" w:rsidR="00F82C24" w:rsidRDefault="00F82C24">
      <w:pPr>
        <w:spacing w:after="160" w:line="259" w:lineRule="auto"/>
        <w:ind w:left="0" w:firstLine="0"/>
        <w:jc w:val="left"/>
      </w:pPr>
    </w:p>
    <w:p w14:paraId="4066AB49" w14:textId="77777777" w:rsidR="00F82C24" w:rsidRDefault="00F82C24">
      <w:pPr>
        <w:spacing w:after="160" w:line="259" w:lineRule="auto"/>
        <w:ind w:left="0" w:firstLine="0"/>
        <w:jc w:val="left"/>
      </w:pPr>
    </w:p>
    <w:p w14:paraId="3DC5F978" w14:textId="77777777" w:rsidR="007601DC" w:rsidRDefault="007601DC">
      <w:pPr>
        <w:spacing w:after="160" w:line="259" w:lineRule="auto"/>
        <w:ind w:left="0" w:firstLine="0"/>
        <w:jc w:val="left"/>
      </w:pPr>
    </w:p>
    <w:p w14:paraId="6F004449" w14:textId="77777777" w:rsidR="007601DC" w:rsidRDefault="007601DC">
      <w:pPr>
        <w:spacing w:after="160" w:line="259" w:lineRule="auto"/>
        <w:ind w:left="0" w:firstLine="0"/>
        <w:jc w:val="left"/>
      </w:pPr>
    </w:p>
    <w:p w14:paraId="7848A099" w14:textId="77777777" w:rsidR="00F82C24" w:rsidRDefault="00F82C24">
      <w:pPr>
        <w:spacing w:after="160" w:line="259" w:lineRule="auto"/>
        <w:ind w:left="0" w:firstLine="0"/>
        <w:jc w:val="left"/>
      </w:pPr>
    </w:p>
    <w:p w14:paraId="154605FF" w14:textId="77777777" w:rsidR="00F82C24" w:rsidRDefault="00F82C24">
      <w:pPr>
        <w:spacing w:after="160" w:line="259" w:lineRule="auto"/>
        <w:ind w:left="0" w:firstLine="0"/>
        <w:jc w:val="left"/>
      </w:pPr>
    </w:p>
    <w:p w14:paraId="5B415D54" w14:textId="77777777" w:rsidR="00F82C24" w:rsidRDefault="00F82C24">
      <w:pPr>
        <w:spacing w:after="160" w:line="259" w:lineRule="auto"/>
        <w:ind w:left="0" w:firstLine="0"/>
        <w:jc w:val="left"/>
      </w:pPr>
    </w:p>
    <w:p w14:paraId="75A6409F" w14:textId="0E39A67C" w:rsidR="00262021" w:rsidRPr="00262021" w:rsidRDefault="00262021" w:rsidP="00AA4778">
      <w:pPr>
        <w:autoSpaceDE w:val="0"/>
        <w:autoSpaceDN w:val="0"/>
        <w:adjustRightInd w:val="0"/>
        <w:ind w:left="0" w:firstLine="0"/>
        <w:jc w:val="left"/>
        <w:rPr>
          <w:b/>
          <w:szCs w:val="22"/>
        </w:rPr>
      </w:pPr>
      <w:r w:rsidRPr="00262021">
        <w:rPr>
          <w:b/>
        </w:rPr>
        <w:t xml:space="preserve">An Examination undertaken for </w:t>
      </w:r>
      <w:r w:rsidR="002E7CC9">
        <w:rPr>
          <w:b/>
        </w:rPr>
        <w:t xml:space="preserve">Westminster City </w:t>
      </w:r>
      <w:r w:rsidRPr="00262021">
        <w:rPr>
          <w:rFonts w:eastAsiaTheme="minorHAnsi" w:cs="Arial"/>
          <w:b/>
          <w:bCs/>
          <w:szCs w:val="22"/>
          <w:lang w:eastAsia="en-US"/>
        </w:rPr>
        <w:t xml:space="preserve">Council with the support of </w:t>
      </w:r>
      <w:r w:rsidR="00352723">
        <w:rPr>
          <w:rFonts w:eastAsiaTheme="minorHAnsi" w:cs="Arial"/>
          <w:b/>
          <w:bCs/>
          <w:szCs w:val="22"/>
          <w:lang w:eastAsia="en-US"/>
        </w:rPr>
        <w:t xml:space="preserve">the </w:t>
      </w:r>
      <w:r w:rsidR="002E7CC9">
        <w:rPr>
          <w:rFonts w:eastAsiaTheme="minorHAnsi" w:cs="Arial"/>
          <w:b/>
          <w:bCs/>
          <w:szCs w:val="22"/>
          <w:lang w:eastAsia="en-US"/>
        </w:rPr>
        <w:t>Fitz</w:t>
      </w:r>
      <w:r w:rsidR="008C4A28">
        <w:rPr>
          <w:rFonts w:eastAsiaTheme="minorHAnsi" w:cs="Arial"/>
          <w:b/>
          <w:bCs/>
          <w:szCs w:val="22"/>
          <w:lang w:eastAsia="en-US"/>
        </w:rPr>
        <w:t xml:space="preserve">rovia </w:t>
      </w:r>
      <w:r w:rsidR="002E7CC9">
        <w:rPr>
          <w:rFonts w:eastAsiaTheme="minorHAnsi" w:cs="Arial"/>
          <w:b/>
          <w:bCs/>
          <w:szCs w:val="22"/>
          <w:lang w:eastAsia="en-US"/>
        </w:rPr>
        <w:t>West Neighbourhood Forum</w:t>
      </w:r>
      <w:r w:rsidR="006A564C">
        <w:rPr>
          <w:rFonts w:eastAsiaTheme="minorHAnsi" w:cs="Arial"/>
          <w:b/>
          <w:bCs/>
          <w:szCs w:val="22"/>
          <w:lang w:eastAsia="en-US"/>
        </w:rPr>
        <w:t xml:space="preserve"> on the </w:t>
      </w:r>
      <w:r w:rsidR="002E7CC9">
        <w:rPr>
          <w:rFonts w:eastAsiaTheme="minorHAnsi" w:cs="Arial"/>
          <w:b/>
          <w:bCs/>
          <w:szCs w:val="22"/>
          <w:lang w:eastAsia="en-US"/>
        </w:rPr>
        <w:t xml:space="preserve">April 2020 </w:t>
      </w:r>
      <w:r w:rsidRPr="00262021">
        <w:rPr>
          <w:rFonts w:eastAsiaTheme="minorHAnsi" w:cs="Arial"/>
          <w:b/>
          <w:bCs/>
          <w:szCs w:val="22"/>
          <w:lang w:eastAsia="en-US"/>
        </w:rPr>
        <w:t>submission version of the Plan.</w:t>
      </w:r>
    </w:p>
    <w:p w14:paraId="0609FD31" w14:textId="77777777" w:rsidR="00F82C24" w:rsidRPr="00262021" w:rsidRDefault="00F82C24" w:rsidP="00AA4778">
      <w:pPr>
        <w:spacing w:line="259" w:lineRule="auto"/>
        <w:ind w:left="0" w:firstLine="0"/>
        <w:jc w:val="left"/>
      </w:pPr>
    </w:p>
    <w:p w14:paraId="4842E3CB" w14:textId="04177452" w:rsidR="00262021" w:rsidRPr="00262021" w:rsidRDefault="00F82C24" w:rsidP="00AA4778">
      <w:pPr>
        <w:autoSpaceDE w:val="0"/>
        <w:autoSpaceDN w:val="0"/>
        <w:adjustRightInd w:val="0"/>
        <w:ind w:left="0" w:firstLine="0"/>
        <w:jc w:val="left"/>
        <w:rPr>
          <w:rFonts w:eastAsiaTheme="minorHAnsi" w:cs="Arial"/>
          <w:b/>
          <w:bCs/>
          <w:sz w:val="32"/>
          <w:szCs w:val="32"/>
          <w:lang w:eastAsia="en-US"/>
        </w:rPr>
      </w:pPr>
      <w:r w:rsidRPr="00262021">
        <w:t xml:space="preserve">Independent Examiner: </w:t>
      </w:r>
      <w:r w:rsidR="00B83C94">
        <w:t>Jill Kingaby BSc</w:t>
      </w:r>
      <w:r w:rsidR="005F5F31">
        <w:t xml:space="preserve"> </w:t>
      </w:r>
      <w:r w:rsidR="00B83C94">
        <w:t>(Econ) MSc MRTPI</w:t>
      </w:r>
    </w:p>
    <w:p w14:paraId="4929B5EB" w14:textId="77777777" w:rsidR="00AA4778" w:rsidRDefault="00AA4778" w:rsidP="00AA4778">
      <w:pPr>
        <w:spacing w:line="259" w:lineRule="auto"/>
        <w:ind w:left="0" w:firstLine="0"/>
        <w:jc w:val="left"/>
      </w:pPr>
    </w:p>
    <w:p w14:paraId="6034C3AC" w14:textId="64DBB5DA" w:rsidR="00F82C24" w:rsidRDefault="00262021" w:rsidP="00AA4778">
      <w:pPr>
        <w:spacing w:line="259" w:lineRule="auto"/>
        <w:ind w:left="0" w:firstLine="0"/>
        <w:jc w:val="left"/>
      </w:pPr>
      <w:r w:rsidRPr="00262021">
        <w:t>D</w:t>
      </w:r>
      <w:r w:rsidR="00F82C24" w:rsidRPr="00262021">
        <w:t>ate of Report</w:t>
      </w:r>
      <w:r w:rsidR="00015BA5">
        <w:t xml:space="preserve">: </w:t>
      </w:r>
      <w:r w:rsidR="006820B9">
        <w:t>1</w:t>
      </w:r>
      <w:r w:rsidR="00EB48B5">
        <w:t>6</w:t>
      </w:r>
      <w:r w:rsidR="00DC4FB3">
        <w:t xml:space="preserve"> February</w:t>
      </w:r>
      <w:r w:rsidR="00015BA5">
        <w:t xml:space="preserve"> 2021</w:t>
      </w:r>
    </w:p>
    <w:p w14:paraId="63438C60" w14:textId="77777777" w:rsidR="00C37BA0" w:rsidRDefault="00C37BA0" w:rsidP="00AA4778">
      <w:pPr>
        <w:spacing w:line="259" w:lineRule="auto"/>
        <w:ind w:left="0" w:firstLine="0"/>
        <w:jc w:val="left"/>
      </w:pPr>
    </w:p>
    <w:p w14:paraId="316D387C" w14:textId="77777777" w:rsidR="00C37BA0" w:rsidRDefault="00C37BA0">
      <w:pPr>
        <w:spacing w:after="160" w:line="259" w:lineRule="auto"/>
        <w:ind w:left="0" w:firstLine="0"/>
        <w:jc w:val="left"/>
        <w:rPr>
          <w:b/>
        </w:rPr>
      </w:pPr>
      <w:r w:rsidRPr="00C37BA0">
        <w:rPr>
          <w:b/>
        </w:rPr>
        <w:lastRenderedPageBreak/>
        <w:t>Contents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2500"/>
      </w:tblGrid>
      <w:tr w:rsidR="00045FD6" w14:paraId="71D78525" w14:textId="77777777" w:rsidTr="006E14C5">
        <w:tc>
          <w:tcPr>
            <w:tcW w:w="6521" w:type="dxa"/>
          </w:tcPr>
          <w:p w14:paraId="461CBF51" w14:textId="77777777" w:rsidR="00045FD6" w:rsidRDefault="00045FD6" w:rsidP="003E7816">
            <w:pPr>
              <w:ind w:left="0" w:firstLine="0"/>
            </w:pPr>
          </w:p>
        </w:tc>
        <w:tc>
          <w:tcPr>
            <w:tcW w:w="2500" w:type="dxa"/>
          </w:tcPr>
          <w:p w14:paraId="57E47133" w14:textId="77777777" w:rsidR="00045FD6" w:rsidRDefault="00045FD6" w:rsidP="00AB0ABC">
            <w:pPr>
              <w:spacing w:after="120"/>
              <w:ind w:left="0" w:firstLine="0"/>
              <w:jc w:val="center"/>
            </w:pPr>
            <w:r>
              <w:t>Page</w:t>
            </w:r>
          </w:p>
        </w:tc>
      </w:tr>
      <w:tr w:rsidR="00045FD6" w14:paraId="1C900BE4" w14:textId="77777777" w:rsidTr="006E14C5">
        <w:tc>
          <w:tcPr>
            <w:tcW w:w="6521" w:type="dxa"/>
          </w:tcPr>
          <w:p w14:paraId="2903438E" w14:textId="59C15162" w:rsidR="00045FD6" w:rsidRDefault="00045FD6" w:rsidP="003E7816">
            <w:pPr>
              <w:ind w:left="0" w:firstLine="0"/>
            </w:pPr>
            <w:r w:rsidRPr="00733278">
              <w:rPr>
                <w:b/>
              </w:rPr>
              <w:t>Main Findings</w:t>
            </w:r>
            <w:r w:rsidRPr="00733278">
              <w:t xml:space="preserve"> - Executive Summary</w:t>
            </w:r>
          </w:p>
        </w:tc>
        <w:tc>
          <w:tcPr>
            <w:tcW w:w="2500" w:type="dxa"/>
          </w:tcPr>
          <w:p w14:paraId="7D435E92" w14:textId="6A0116B1" w:rsidR="00045FD6" w:rsidRDefault="00011FE7" w:rsidP="003E7816">
            <w:pPr>
              <w:ind w:left="0" w:firstLine="0"/>
              <w:jc w:val="center"/>
            </w:pPr>
            <w:r>
              <w:t>3</w:t>
            </w:r>
          </w:p>
        </w:tc>
      </w:tr>
      <w:tr w:rsidR="00045FD6" w14:paraId="0581A647" w14:textId="77777777" w:rsidTr="006E14C5">
        <w:tc>
          <w:tcPr>
            <w:tcW w:w="6521" w:type="dxa"/>
          </w:tcPr>
          <w:p w14:paraId="5D24DF40" w14:textId="77777777" w:rsidR="00045FD6" w:rsidRDefault="00045FD6" w:rsidP="003E7816">
            <w:pPr>
              <w:ind w:left="0" w:firstLine="0"/>
            </w:pPr>
          </w:p>
        </w:tc>
        <w:tc>
          <w:tcPr>
            <w:tcW w:w="2500" w:type="dxa"/>
          </w:tcPr>
          <w:p w14:paraId="6A9587A5" w14:textId="77777777" w:rsidR="00045FD6" w:rsidRDefault="00045FD6" w:rsidP="003E7816">
            <w:pPr>
              <w:ind w:left="0" w:firstLine="0"/>
              <w:jc w:val="center"/>
            </w:pPr>
          </w:p>
        </w:tc>
      </w:tr>
      <w:tr w:rsidR="00045FD6" w14:paraId="3E68E9C9" w14:textId="77777777" w:rsidTr="006E14C5">
        <w:tc>
          <w:tcPr>
            <w:tcW w:w="6521" w:type="dxa"/>
          </w:tcPr>
          <w:p w14:paraId="59D4A365" w14:textId="77777777" w:rsidR="00045FD6" w:rsidRPr="00733278" w:rsidRDefault="00045FD6" w:rsidP="00DA0078">
            <w:pPr>
              <w:pStyle w:val="ListParagraph"/>
              <w:numPr>
                <w:ilvl w:val="0"/>
                <w:numId w:val="11"/>
              </w:numPr>
              <w:ind w:left="321" w:hanging="321"/>
              <w:rPr>
                <w:b/>
              </w:rPr>
            </w:pPr>
            <w:r w:rsidRPr="00733278">
              <w:rPr>
                <w:b/>
              </w:rPr>
              <w:t>Introduction and Background</w:t>
            </w:r>
          </w:p>
        </w:tc>
        <w:tc>
          <w:tcPr>
            <w:tcW w:w="2500" w:type="dxa"/>
          </w:tcPr>
          <w:p w14:paraId="4D8D3CF9" w14:textId="46D07165" w:rsidR="00045FD6" w:rsidRDefault="00011FE7" w:rsidP="003E7816">
            <w:pPr>
              <w:ind w:left="0" w:firstLine="0"/>
              <w:jc w:val="center"/>
            </w:pPr>
            <w:r>
              <w:t>3</w:t>
            </w:r>
          </w:p>
        </w:tc>
      </w:tr>
      <w:tr w:rsidR="00045FD6" w14:paraId="78811938" w14:textId="77777777" w:rsidTr="006E14C5">
        <w:tc>
          <w:tcPr>
            <w:tcW w:w="6521" w:type="dxa"/>
          </w:tcPr>
          <w:p w14:paraId="59DD88E1" w14:textId="6612CE6C" w:rsidR="00045FD6" w:rsidRDefault="009C2FF0" w:rsidP="009C2FF0">
            <w:pPr>
              <w:pStyle w:val="ListParagraph"/>
              <w:numPr>
                <w:ilvl w:val="0"/>
                <w:numId w:val="12"/>
              </w:numPr>
              <w:rPr>
                <w:lang w:eastAsia="en-US"/>
              </w:rPr>
            </w:pPr>
            <w:r>
              <w:rPr>
                <w:lang w:eastAsia="en-US"/>
              </w:rPr>
              <w:t xml:space="preserve">Fitzrovia West </w:t>
            </w:r>
            <w:r w:rsidR="00045FD6">
              <w:rPr>
                <w:lang w:eastAsia="en-US"/>
              </w:rPr>
              <w:t xml:space="preserve">Neighbourhood Plan </w:t>
            </w:r>
          </w:p>
        </w:tc>
        <w:tc>
          <w:tcPr>
            <w:tcW w:w="2500" w:type="dxa"/>
          </w:tcPr>
          <w:p w14:paraId="22D8F6CF" w14:textId="459B1B83" w:rsidR="00045FD6" w:rsidRDefault="00011FE7" w:rsidP="003E7816">
            <w:pPr>
              <w:ind w:left="0" w:firstLine="0"/>
              <w:jc w:val="center"/>
            </w:pPr>
            <w:r>
              <w:t>3</w:t>
            </w:r>
          </w:p>
        </w:tc>
      </w:tr>
      <w:tr w:rsidR="00045FD6" w14:paraId="47237BDF" w14:textId="77777777" w:rsidTr="006E14C5">
        <w:tc>
          <w:tcPr>
            <w:tcW w:w="6521" w:type="dxa"/>
          </w:tcPr>
          <w:p w14:paraId="0BB17820" w14:textId="77777777" w:rsidR="00045FD6" w:rsidRDefault="00045FD6" w:rsidP="00DA0078">
            <w:pPr>
              <w:pStyle w:val="ListParagraph"/>
              <w:numPr>
                <w:ilvl w:val="0"/>
                <w:numId w:val="5"/>
              </w:numPr>
            </w:pPr>
            <w:r w:rsidRPr="00733278">
              <w:t>The Independent Examiner</w:t>
            </w:r>
          </w:p>
        </w:tc>
        <w:tc>
          <w:tcPr>
            <w:tcW w:w="2500" w:type="dxa"/>
          </w:tcPr>
          <w:p w14:paraId="325A23FD" w14:textId="488E9833" w:rsidR="00045FD6" w:rsidRDefault="00EF1F16" w:rsidP="003E7816">
            <w:pPr>
              <w:ind w:left="0" w:firstLine="0"/>
              <w:jc w:val="center"/>
            </w:pPr>
            <w:r>
              <w:t>4</w:t>
            </w:r>
          </w:p>
        </w:tc>
      </w:tr>
      <w:tr w:rsidR="00045FD6" w14:paraId="4F7D5464" w14:textId="77777777" w:rsidTr="006E14C5">
        <w:tc>
          <w:tcPr>
            <w:tcW w:w="6521" w:type="dxa"/>
          </w:tcPr>
          <w:p w14:paraId="3754077C" w14:textId="77777777" w:rsidR="00045FD6" w:rsidRDefault="00045FD6" w:rsidP="00DA0078">
            <w:pPr>
              <w:pStyle w:val="ListParagraph"/>
              <w:numPr>
                <w:ilvl w:val="0"/>
                <w:numId w:val="5"/>
              </w:numPr>
              <w:rPr>
                <w:lang w:eastAsia="en-US"/>
              </w:rPr>
            </w:pPr>
            <w:r>
              <w:rPr>
                <w:lang w:eastAsia="en-US"/>
              </w:rPr>
              <w:t>The Scope of the Examination</w:t>
            </w:r>
          </w:p>
        </w:tc>
        <w:tc>
          <w:tcPr>
            <w:tcW w:w="2500" w:type="dxa"/>
          </w:tcPr>
          <w:p w14:paraId="2DAFE1FC" w14:textId="2171BA61" w:rsidR="00045FD6" w:rsidRDefault="00EF1F16" w:rsidP="003E7816">
            <w:pPr>
              <w:ind w:left="0" w:firstLine="0"/>
              <w:jc w:val="center"/>
            </w:pPr>
            <w:r>
              <w:t>4</w:t>
            </w:r>
          </w:p>
        </w:tc>
      </w:tr>
      <w:tr w:rsidR="00045FD6" w14:paraId="6DFD474F" w14:textId="77777777" w:rsidTr="006E14C5">
        <w:tc>
          <w:tcPr>
            <w:tcW w:w="6521" w:type="dxa"/>
          </w:tcPr>
          <w:p w14:paraId="161B63FC" w14:textId="77777777" w:rsidR="00045FD6" w:rsidRDefault="00045FD6" w:rsidP="00DA0078">
            <w:pPr>
              <w:pStyle w:val="ListParagraph"/>
              <w:numPr>
                <w:ilvl w:val="0"/>
                <w:numId w:val="5"/>
              </w:numPr>
              <w:rPr>
                <w:lang w:eastAsia="en-US"/>
              </w:rPr>
            </w:pPr>
            <w:r>
              <w:rPr>
                <w:lang w:eastAsia="en-US"/>
              </w:rPr>
              <w:t>The Basic Conditions</w:t>
            </w:r>
          </w:p>
        </w:tc>
        <w:tc>
          <w:tcPr>
            <w:tcW w:w="2500" w:type="dxa"/>
          </w:tcPr>
          <w:p w14:paraId="33D7845A" w14:textId="2307CEF1" w:rsidR="00045FD6" w:rsidRDefault="00EF1F16" w:rsidP="003E7816">
            <w:pPr>
              <w:ind w:left="0" w:firstLine="0"/>
              <w:jc w:val="center"/>
            </w:pPr>
            <w:r>
              <w:t>6</w:t>
            </w:r>
          </w:p>
        </w:tc>
      </w:tr>
      <w:tr w:rsidR="00045FD6" w14:paraId="2B771F6E" w14:textId="77777777" w:rsidTr="006E14C5">
        <w:tc>
          <w:tcPr>
            <w:tcW w:w="6521" w:type="dxa"/>
          </w:tcPr>
          <w:p w14:paraId="28A5A101" w14:textId="77777777" w:rsidR="00045FD6" w:rsidRDefault="00045FD6" w:rsidP="003E7816">
            <w:pPr>
              <w:pStyle w:val="ListParagraph"/>
              <w:ind w:firstLine="0"/>
              <w:rPr>
                <w:lang w:eastAsia="en-US"/>
              </w:rPr>
            </w:pPr>
          </w:p>
        </w:tc>
        <w:tc>
          <w:tcPr>
            <w:tcW w:w="2500" w:type="dxa"/>
          </w:tcPr>
          <w:p w14:paraId="751E6E37" w14:textId="77777777" w:rsidR="00045FD6" w:rsidRDefault="00045FD6" w:rsidP="003E7816">
            <w:pPr>
              <w:ind w:left="0" w:firstLine="0"/>
              <w:jc w:val="center"/>
            </w:pPr>
          </w:p>
        </w:tc>
      </w:tr>
      <w:tr w:rsidR="00045FD6" w14:paraId="51FD0422" w14:textId="77777777" w:rsidTr="006E14C5">
        <w:tc>
          <w:tcPr>
            <w:tcW w:w="6521" w:type="dxa"/>
          </w:tcPr>
          <w:p w14:paraId="13FD84B9" w14:textId="77777777" w:rsidR="00045FD6" w:rsidRPr="00733278" w:rsidRDefault="00045FD6" w:rsidP="00DA0078">
            <w:pPr>
              <w:pStyle w:val="ListParagraph"/>
              <w:numPr>
                <w:ilvl w:val="0"/>
                <w:numId w:val="11"/>
              </w:numPr>
              <w:ind w:left="321" w:hanging="284"/>
              <w:rPr>
                <w:b/>
                <w:lang w:eastAsia="en-US"/>
              </w:rPr>
            </w:pPr>
            <w:r w:rsidRPr="00733278">
              <w:rPr>
                <w:b/>
                <w:lang w:eastAsia="en-US"/>
              </w:rPr>
              <w:t xml:space="preserve">Approach to the Examination </w:t>
            </w:r>
          </w:p>
        </w:tc>
        <w:tc>
          <w:tcPr>
            <w:tcW w:w="2500" w:type="dxa"/>
          </w:tcPr>
          <w:p w14:paraId="7FD964CD" w14:textId="7D9AB3C3" w:rsidR="00045FD6" w:rsidRDefault="00EF1F16" w:rsidP="003E7816">
            <w:pPr>
              <w:ind w:left="0" w:firstLine="0"/>
              <w:jc w:val="center"/>
            </w:pPr>
            <w:r>
              <w:t>6</w:t>
            </w:r>
          </w:p>
        </w:tc>
      </w:tr>
      <w:tr w:rsidR="00045FD6" w14:paraId="26E755C2" w14:textId="77777777" w:rsidTr="006E14C5">
        <w:tc>
          <w:tcPr>
            <w:tcW w:w="6521" w:type="dxa"/>
          </w:tcPr>
          <w:p w14:paraId="72946956" w14:textId="77777777" w:rsidR="00045FD6" w:rsidRDefault="00045FD6" w:rsidP="00DA0078">
            <w:pPr>
              <w:pStyle w:val="ListParagraph"/>
              <w:numPr>
                <w:ilvl w:val="0"/>
                <w:numId w:val="4"/>
              </w:numPr>
              <w:rPr>
                <w:lang w:eastAsia="en-US"/>
              </w:rPr>
            </w:pPr>
            <w:r>
              <w:rPr>
                <w:lang w:eastAsia="en-US"/>
              </w:rPr>
              <w:t>Planning Policy Context</w:t>
            </w:r>
          </w:p>
        </w:tc>
        <w:tc>
          <w:tcPr>
            <w:tcW w:w="2500" w:type="dxa"/>
          </w:tcPr>
          <w:p w14:paraId="4299F20B" w14:textId="32EF333B" w:rsidR="00045FD6" w:rsidRDefault="00EF1F16" w:rsidP="003E7816">
            <w:pPr>
              <w:ind w:left="0" w:firstLine="0"/>
              <w:jc w:val="center"/>
            </w:pPr>
            <w:r>
              <w:t>6</w:t>
            </w:r>
          </w:p>
        </w:tc>
      </w:tr>
      <w:tr w:rsidR="00045FD6" w14:paraId="32DF8671" w14:textId="77777777" w:rsidTr="006E14C5">
        <w:tc>
          <w:tcPr>
            <w:tcW w:w="6521" w:type="dxa"/>
          </w:tcPr>
          <w:p w14:paraId="13D1AB14" w14:textId="77777777" w:rsidR="00045FD6" w:rsidRDefault="00045FD6" w:rsidP="00DA0078">
            <w:pPr>
              <w:pStyle w:val="ListParagraph"/>
              <w:numPr>
                <w:ilvl w:val="0"/>
                <w:numId w:val="4"/>
              </w:numPr>
              <w:rPr>
                <w:lang w:eastAsia="en-US"/>
              </w:rPr>
            </w:pPr>
            <w:r>
              <w:rPr>
                <w:lang w:eastAsia="en-US"/>
              </w:rPr>
              <w:t>Submitted Documents</w:t>
            </w:r>
          </w:p>
        </w:tc>
        <w:tc>
          <w:tcPr>
            <w:tcW w:w="2500" w:type="dxa"/>
          </w:tcPr>
          <w:p w14:paraId="6D9CC932" w14:textId="1D8D2DC9" w:rsidR="00045FD6" w:rsidRDefault="00EF1F16" w:rsidP="003E7816">
            <w:pPr>
              <w:ind w:left="0" w:firstLine="0"/>
              <w:jc w:val="center"/>
            </w:pPr>
            <w:r>
              <w:t>7</w:t>
            </w:r>
          </w:p>
        </w:tc>
      </w:tr>
      <w:tr w:rsidR="00045FD6" w14:paraId="28DF14C0" w14:textId="77777777" w:rsidTr="006E14C5">
        <w:tc>
          <w:tcPr>
            <w:tcW w:w="6521" w:type="dxa"/>
          </w:tcPr>
          <w:p w14:paraId="44355985" w14:textId="77777777" w:rsidR="00045FD6" w:rsidRDefault="00045FD6" w:rsidP="00DA0078">
            <w:pPr>
              <w:pStyle w:val="ListParagraph"/>
              <w:numPr>
                <w:ilvl w:val="0"/>
                <w:numId w:val="4"/>
              </w:numPr>
              <w:rPr>
                <w:lang w:eastAsia="en-US"/>
              </w:rPr>
            </w:pPr>
            <w:r>
              <w:rPr>
                <w:lang w:eastAsia="en-US"/>
              </w:rPr>
              <w:t>Site Visit</w:t>
            </w:r>
          </w:p>
        </w:tc>
        <w:tc>
          <w:tcPr>
            <w:tcW w:w="2500" w:type="dxa"/>
          </w:tcPr>
          <w:p w14:paraId="4DB80D32" w14:textId="4C223935" w:rsidR="00045FD6" w:rsidRDefault="00EF1F16" w:rsidP="003E7816">
            <w:pPr>
              <w:ind w:left="0" w:firstLine="0"/>
              <w:jc w:val="center"/>
            </w:pPr>
            <w:r>
              <w:t>7</w:t>
            </w:r>
          </w:p>
        </w:tc>
      </w:tr>
      <w:tr w:rsidR="00045FD6" w14:paraId="1C8C02C3" w14:textId="77777777" w:rsidTr="006E14C5">
        <w:tc>
          <w:tcPr>
            <w:tcW w:w="6521" w:type="dxa"/>
          </w:tcPr>
          <w:p w14:paraId="112BDE92" w14:textId="62733DCB" w:rsidR="00045FD6" w:rsidRDefault="00045FD6" w:rsidP="00AF36D2">
            <w:pPr>
              <w:pStyle w:val="ListParagraph"/>
              <w:numPr>
                <w:ilvl w:val="0"/>
                <w:numId w:val="4"/>
              </w:numPr>
              <w:jc w:val="left"/>
              <w:rPr>
                <w:lang w:eastAsia="en-US"/>
              </w:rPr>
            </w:pPr>
            <w:r>
              <w:rPr>
                <w:lang w:eastAsia="en-US"/>
              </w:rPr>
              <w:t xml:space="preserve">Written Representations </w:t>
            </w:r>
            <w:r w:rsidR="00AF36D2">
              <w:rPr>
                <w:lang w:eastAsia="en-US"/>
              </w:rPr>
              <w:t xml:space="preserve">with </w:t>
            </w:r>
            <w:r>
              <w:rPr>
                <w:lang w:eastAsia="en-US"/>
              </w:rPr>
              <w:t xml:space="preserve">or </w:t>
            </w:r>
            <w:r w:rsidR="00AF36D2">
              <w:rPr>
                <w:lang w:eastAsia="en-US"/>
              </w:rPr>
              <w:t xml:space="preserve">without </w:t>
            </w:r>
            <w:r>
              <w:rPr>
                <w:lang w:eastAsia="en-US"/>
              </w:rPr>
              <w:t>Public Hearing</w:t>
            </w:r>
          </w:p>
        </w:tc>
        <w:tc>
          <w:tcPr>
            <w:tcW w:w="2500" w:type="dxa"/>
          </w:tcPr>
          <w:p w14:paraId="5B065231" w14:textId="4E61EE0E" w:rsidR="00045FD6" w:rsidRDefault="0016743F" w:rsidP="003E7816">
            <w:pPr>
              <w:ind w:left="0" w:firstLine="0"/>
              <w:jc w:val="center"/>
            </w:pPr>
            <w:r>
              <w:t>8</w:t>
            </w:r>
          </w:p>
        </w:tc>
      </w:tr>
      <w:tr w:rsidR="00045FD6" w14:paraId="12FF0912" w14:textId="77777777" w:rsidTr="006E14C5">
        <w:tc>
          <w:tcPr>
            <w:tcW w:w="6521" w:type="dxa"/>
          </w:tcPr>
          <w:p w14:paraId="4252A7F7" w14:textId="77777777" w:rsidR="00045FD6" w:rsidRDefault="00045FD6" w:rsidP="00DA0078">
            <w:pPr>
              <w:pStyle w:val="ListParagraph"/>
              <w:numPr>
                <w:ilvl w:val="0"/>
                <w:numId w:val="4"/>
              </w:numPr>
              <w:rPr>
                <w:lang w:eastAsia="en-US"/>
              </w:rPr>
            </w:pPr>
            <w:r>
              <w:rPr>
                <w:lang w:eastAsia="en-US"/>
              </w:rPr>
              <w:t>Modifications</w:t>
            </w:r>
          </w:p>
        </w:tc>
        <w:tc>
          <w:tcPr>
            <w:tcW w:w="2500" w:type="dxa"/>
          </w:tcPr>
          <w:p w14:paraId="78028040" w14:textId="19DC2895" w:rsidR="00045FD6" w:rsidRDefault="00EF1F16" w:rsidP="003E7816">
            <w:pPr>
              <w:ind w:left="0" w:firstLine="0"/>
              <w:jc w:val="center"/>
            </w:pPr>
            <w:r>
              <w:t>8</w:t>
            </w:r>
          </w:p>
        </w:tc>
      </w:tr>
      <w:tr w:rsidR="00045FD6" w14:paraId="392193D3" w14:textId="77777777" w:rsidTr="006E14C5">
        <w:tc>
          <w:tcPr>
            <w:tcW w:w="6521" w:type="dxa"/>
          </w:tcPr>
          <w:p w14:paraId="5D0BA7B7" w14:textId="77777777" w:rsidR="00045FD6" w:rsidRDefault="00045FD6" w:rsidP="003E7816">
            <w:pPr>
              <w:pStyle w:val="ListParagraph"/>
              <w:ind w:firstLine="0"/>
              <w:rPr>
                <w:lang w:eastAsia="en-US"/>
              </w:rPr>
            </w:pPr>
          </w:p>
        </w:tc>
        <w:tc>
          <w:tcPr>
            <w:tcW w:w="2500" w:type="dxa"/>
          </w:tcPr>
          <w:p w14:paraId="232E0FD1" w14:textId="77777777" w:rsidR="00045FD6" w:rsidRDefault="00045FD6" w:rsidP="003E7816">
            <w:pPr>
              <w:ind w:left="0" w:firstLine="0"/>
              <w:jc w:val="center"/>
            </w:pPr>
          </w:p>
        </w:tc>
      </w:tr>
      <w:tr w:rsidR="00045FD6" w14:paraId="61E4B7D3" w14:textId="77777777" w:rsidTr="006E14C5">
        <w:tc>
          <w:tcPr>
            <w:tcW w:w="6521" w:type="dxa"/>
          </w:tcPr>
          <w:p w14:paraId="5830E9C1" w14:textId="77777777" w:rsidR="00045FD6" w:rsidRPr="00733278" w:rsidRDefault="00045FD6" w:rsidP="00DA0078">
            <w:pPr>
              <w:pStyle w:val="ListParagraph"/>
              <w:numPr>
                <w:ilvl w:val="0"/>
                <w:numId w:val="11"/>
              </w:numPr>
              <w:spacing w:line="256" w:lineRule="auto"/>
              <w:ind w:left="321" w:hanging="284"/>
              <w:jc w:val="left"/>
              <w:rPr>
                <w:b/>
                <w:lang w:eastAsia="en-US"/>
              </w:rPr>
            </w:pPr>
            <w:r>
              <w:rPr>
                <w:b/>
                <w:lang w:eastAsia="en-US"/>
              </w:rPr>
              <w:t>Procedural Compliance and Human Rights</w:t>
            </w:r>
          </w:p>
        </w:tc>
        <w:tc>
          <w:tcPr>
            <w:tcW w:w="2500" w:type="dxa"/>
          </w:tcPr>
          <w:p w14:paraId="678484BA" w14:textId="2E0DA230" w:rsidR="00045FD6" w:rsidRDefault="00EF1F16" w:rsidP="003E7816">
            <w:pPr>
              <w:ind w:left="0" w:firstLine="0"/>
              <w:jc w:val="center"/>
            </w:pPr>
            <w:r>
              <w:t>8</w:t>
            </w:r>
          </w:p>
        </w:tc>
      </w:tr>
      <w:tr w:rsidR="00045FD6" w14:paraId="0B1932D7" w14:textId="77777777" w:rsidTr="006E14C5">
        <w:tc>
          <w:tcPr>
            <w:tcW w:w="6521" w:type="dxa"/>
          </w:tcPr>
          <w:p w14:paraId="1E6CF4D8" w14:textId="77777777" w:rsidR="00045FD6" w:rsidRPr="00733278" w:rsidRDefault="00045FD6" w:rsidP="00DA0078">
            <w:pPr>
              <w:pStyle w:val="ListParagraph"/>
              <w:numPr>
                <w:ilvl w:val="0"/>
                <w:numId w:val="3"/>
              </w:numPr>
              <w:jc w:val="left"/>
              <w:rPr>
                <w:lang w:eastAsia="en-US"/>
              </w:rPr>
            </w:pPr>
            <w:r>
              <w:rPr>
                <w:lang w:eastAsia="en-US"/>
              </w:rPr>
              <w:t>Qualifying Body and Neighbourhood Plan Area</w:t>
            </w:r>
          </w:p>
        </w:tc>
        <w:tc>
          <w:tcPr>
            <w:tcW w:w="2500" w:type="dxa"/>
          </w:tcPr>
          <w:p w14:paraId="54F9B81E" w14:textId="5C13DEE8" w:rsidR="00045FD6" w:rsidRDefault="00EF1F16" w:rsidP="003E7816">
            <w:pPr>
              <w:ind w:left="0" w:firstLine="0"/>
              <w:jc w:val="center"/>
            </w:pPr>
            <w:r>
              <w:t>8</w:t>
            </w:r>
          </w:p>
        </w:tc>
      </w:tr>
      <w:tr w:rsidR="00045FD6" w14:paraId="1FDE9CF9" w14:textId="77777777" w:rsidTr="006E14C5">
        <w:tc>
          <w:tcPr>
            <w:tcW w:w="6521" w:type="dxa"/>
          </w:tcPr>
          <w:p w14:paraId="60C010B6" w14:textId="77777777" w:rsidR="00045FD6" w:rsidRPr="00733278" w:rsidRDefault="00045FD6" w:rsidP="00DA0078">
            <w:pPr>
              <w:pStyle w:val="ListParagraph"/>
              <w:numPr>
                <w:ilvl w:val="0"/>
                <w:numId w:val="3"/>
              </w:numPr>
              <w:jc w:val="left"/>
              <w:rPr>
                <w:lang w:eastAsia="en-US"/>
              </w:rPr>
            </w:pPr>
            <w:r>
              <w:rPr>
                <w:lang w:eastAsia="en-US"/>
              </w:rPr>
              <w:t>Plan Period</w:t>
            </w:r>
          </w:p>
        </w:tc>
        <w:tc>
          <w:tcPr>
            <w:tcW w:w="2500" w:type="dxa"/>
          </w:tcPr>
          <w:p w14:paraId="434DEF35" w14:textId="015B5176" w:rsidR="00045FD6" w:rsidRDefault="00EF1F16" w:rsidP="003E7816">
            <w:pPr>
              <w:ind w:left="0" w:firstLine="0"/>
              <w:jc w:val="center"/>
            </w:pPr>
            <w:r>
              <w:t>8</w:t>
            </w:r>
          </w:p>
        </w:tc>
      </w:tr>
      <w:tr w:rsidR="00045FD6" w14:paraId="1D585F08" w14:textId="77777777" w:rsidTr="006E14C5">
        <w:tc>
          <w:tcPr>
            <w:tcW w:w="6521" w:type="dxa"/>
          </w:tcPr>
          <w:p w14:paraId="3A38B255" w14:textId="77777777" w:rsidR="00045FD6" w:rsidRPr="00733278" w:rsidRDefault="00045FD6" w:rsidP="00DA0078">
            <w:pPr>
              <w:pStyle w:val="ListParagraph"/>
              <w:numPr>
                <w:ilvl w:val="0"/>
                <w:numId w:val="3"/>
              </w:numPr>
              <w:jc w:val="left"/>
              <w:rPr>
                <w:lang w:eastAsia="en-US"/>
              </w:rPr>
            </w:pPr>
            <w:r>
              <w:rPr>
                <w:lang w:eastAsia="en-US"/>
              </w:rPr>
              <w:t>Neighbourhood Plan Preparation and Consultation</w:t>
            </w:r>
          </w:p>
        </w:tc>
        <w:tc>
          <w:tcPr>
            <w:tcW w:w="2500" w:type="dxa"/>
          </w:tcPr>
          <w:p w14:paraId="2C1E315C" w14:textId="2ECD7E0B" w:rsidR="00045FD6" w:rsidRDefault="00EB48B5" w:rsidP="003E7816">
            <w:pPr>
              <w:ind w:left="0" w:firstLine="0"/>
              <w:jc w:val="center"/>
            </w:pPr>
            <w:r>
              <w:t>9</w:t>
            </w:r>
          </w:p>
        </w:tc>
      </w:tr>
      <w:tr w:rsidR="00045FD6" w14:paraId="3544B646" w14:textId="77777777" w:rsidTr="006E14C5">
        <w:tc>
          <w:tcPr>
            <w:tcW w:w="6521" w:type="dxa"/>
          </w:tcPr>
          <w:p w14:paraId="624269C1" w14:textId="3565BA98" w:rsidR="00045FD6" w:rsidRPr="00733278" w:rsidRDefault="00045FD6" w:rsidP="00DA0078">
            <w:pPr>
              <w:pStyle w:val="ListParagraph"/>
              <w:numPr>
                <w:ilvl w:val="0"/>
                <w:numId w:val="3"/>
              </w:numPr>
              <w:jc w:val="left"/>
              <w:rPr>
                <w:lang w:eastAsia="en-US"/>
              </w:rPr>
            </w:pPr>
            <w:r>
              <w:rPr>
                <w:lang w:eastAsia="en-US"/>
              </w:rPr>
              <w:t>Development and Use of Land</w:t>
            </w:r>
            <w:r w:rsidR="00011FE7">
              <w:rPr>
                <w:lang w:eastAsia="en-US"/>
              </w:rPr>
              <w:t xml:space="preserve"> and Excluded Development </w:t>
            </w:r>
          </w:p>
        </w:tc>
        <w:tc>
          <w:tcPr>
            <w:tcW w:w="2500" w:type="dxa"/>
          </w:tcPr>
          <w:p w14:paraId="28E005A1" w14:textId="63B321BD" w:rsidR="00045FD6" w:rsidRDefault="00046245" w:rsidP="003E7816">
            <w:pPr>
              <w:ind w:left="0" w:firstLine="0"/>
              <w:jc w:val="center"/>
            </w:pPr>
            <w:r>
              <w:t>10</w:t>
            </w:r>
          </w:p>
        </w:tc>
      </w:tr>
      <w:tr w:rsidR="00045FD6" w14:paraId="3D9C381F" w14:textId="77777777" w:rsidTr="006E14C5">
        <w:tc>
          <w:tcPr>
            <w:tcW w:w="6521" w:type="dxa"/>
          </w:tcPr>
          <w:p w14:paraId="7940B396" w14:textId="77777777" w:rsidR="00045FD6" w:rsidRDefault="00045FD6" w:rsidP="00DA0078">
            <w:pPr>
              <w:pStyle w:val="ListParagraph"/>
              <w:numPr>
                <w:ilvl w:val="0"/>
                <w:numId w:val="3"/>
              </w:numPr>
              <w:jc w:val="left"/>
              <w:rPr>
                <w:lang w:eastAsia="en-US"/>
              </w:rPr>
            </w:pPr>
            <w:r>
              <w:rPr>
                <w:lang w:eastAsia="en-US"/>
              </w:rPr>
              <w:t>Human Rights</w:t>
            </w:r>
          </w:p>
        </w:tc>
        <w:tc>
          <w:tcPr>
            <w:tcW w:w="2500" w:type="dxa"/>
          </w:tcPr>
          <w:p w14:paraId="42367110" w14:textId="7B59B36B" w:rsidR="00045FD6" w:rsidRDefault="00046245" w:rsidP="003E7816">
            <w:pPr>
              <w:ind w:left="0" w:firstLine="0"/>
              <w:jc w:val="center"/>
            </w:pPr>
            <w:r>
              <w:t>10</w:t>
            </w:r>
          </w:p>
        </w:tc>
      </w:tr>
      <w:tr w:rsidR="00045FD6" w14:paraId="20145B4E" w14:textId="77777777" w:rsidTr="006E14C5">
        <w:tc>
          <w:tcPr>
            <w:tcW w:w="6521" w:type="dxa"/>
          </w:tcPr>
          <w:p w14:paraId="2D21D7C7" w14:textId="77777777" w:rsidR="00045FD6" w:rsidRDefault="00045FD6" w:rsidP="003E7816">
            <w:pPr>
              <w:pStyle w:val="ListParagraph"/>
              <w:ind w:firstLine="0"/>
              <w:jc w:val="left"/>
              <w:rPr>
                <w:lang w:eastAsia="en-US"/>
              </w:rPr>
            </w:pPr>
          </w:p>
        </w:tc>
        <w:tc>
          <w:tcPr>
            <w:tcW w:w="2500" w:type="dxa"/>
          </w:tcPr>
          <w:p w14:paraId="065FB0F5" w14:textId="77777777" w:rsidR="00045FD6" w:rsidRDefault="00045FD6" w:rsidP="003E7816">
            <w:pPr>
              <w:ind w:left="0" w:firstLine="0"/>
              <w:jc w:val="center"/>
            </w:pPr>
          </w:p>
        </w:tc>
      </w:tr>
      <w:tr w:rsidR="00045FD6" w14:paraId="58EB8A3B" w14:textId="77777777" w:rsidTr="006E14C5">
        <w:tc>
          <w:tcPr>
            <w:tcW w:w="6521" w:type="dxa"/>
          </w:tcPr>
          <w:p w14:paraId="47FF90EF" w14:textId="77777777" w:rsidR="00045FD6" w:rsidRPr="00733278" w:rsidRDefault="00045FD6" w:rsidP="00DA0078">
            <w:pPr>
              <w:pStyle w:val="ListParagraph"/>
              <w:numPr>
                <w:ilvl w:val="0"/>
                <w:numId w:val="11"/>
              </w:numPr>
              <w:spacing w:line="256" w:lineRule="auto"/>
              <w:ind w:left="321" w:hanging="284"/>
              <w:jc w:val="left"/>
              <w:rPr>
                <w:b/>
                <w:lang w:eastAsia="en-US"/>
              </w:rPr>
            </w:pPr>
            <w:r>
              <w:rPr>
                <w:b/>
                <w:lang w:eastAsia="en-US"/>
              </w:rPr>
              <w:t xml:space="preserve">Compliance with the Basic Conditions </w:t>
            </w:r>
          </w:p>
        </w:tc>
        <w:tc>
          <w:tcPr>
            <w:tcW w:w="2500" w:type="dxa"/>
          </w:tcPr>
          <w:p w14:paraId="3267F33F" w14:textId="47445D55" w:rsidR="00045FD6" w:rsidRDefault="00EF1F16" w:rsidP="003E7816">
            <w:pPr>
              <w:ind w:left="0" w:firstLine="0"/>
              <w:jc w:val="center"/>
            </w:pPr>
            <w:r>
              <w:t>10</w:t>
            </w:r>
          </w:p>
        </w:tc>
      </w:tr>
      <w:tr w:rsidR="00045FD6" w14:paraId="271F0FF5" w14:textId="77777777" w:rsidTr="006E14C5">
        <w:tc>
          <w:tcPr>
            <w:tcW w:w="6521" w:type="dxa"/>
          </w:tcPr>
          <w:p w14:paraId="5F22EB2C" w14:textId="77777777" w:rsidR="00045FD6" w:rsidRDefault="00045FD6" w:rsidP="00DA0078">
            <w:pPr>
              <w:pStyle w:val="ListParagraph"/>
              <w:numPr>
                <w:ilvl w:val="0"/>
                <w:numId w:val="3"/>
              </w:numPr>
              <w:jc w:val="left"/>
              <w:rPr>
                <w:lang w:eastAsia="en-US"/>
              </w:rPr>
            </w:pPr>
            <w:r>
              <w:rPr>
                <w:lang w:eastAsia="en-US"/>
              </w:rPr>
              <w:t>EU Obligations</w:t>
            </w:r>
          </w:p>
        </w:tc>
        <w:tc>
          <w:tcPr>
            <w:tcW w:w="2500" w:type="dxa"/>
          </w:tcPr>
          <w:p w14:paraId="59A4ECD8" w14:textId="0FA38C4E" w:rsidR="00045FD6" w:rsidRDefault="00EF1F16" w:rsidP="003E7816">
            <w:pPr>
              <w:ind w:left="0" w:firstLine="0"/>
              <w:jc w:val="center"/>
            </w:pPr>
            <w:r>
              <w:t>10</w:t>
            </w:r>
          </w:p>
        </w:tc>
      </w:tr>
      <w:tr w:rsidR="00045FD6" w14:paraId="1AC2541E" w14:textId="77777777" w:rsidTr="006E14C5">
        <w:tc>
          <w:tcPr>
            <w:tcW w:w="6521" w:type="dxa"/>
          </w:tcPr>
          <w:p w14:paraId="6DB3FCA6" w14:textId="77777777" w:rsidR="00045FD6" w:rsidRDefault="00045FD6" w:rsidP="00DA0078">
            <w:pPr>
              <w:pStyle w:val="ListParagraph"/>
              <w:numPr>
                <w:ilvl w:val="0"/>
                <w:numId w:val="3"/>
              </w:numPr>
              <w:jc w:val="left"/>
              <w:rPr>
                <w:lang w:eastAsia="en-US"/>
              </w:rPr>
            </w:pPr>
            <w:r>
              <w:rPr>
                <w:lang w:eastAsia="en-US"/>
              </w:rPr>
              <w:t>Main Issues</w:t>
            </w:r>
          </w:p>
        </w:tc>
        <w:tc>
          <w:tcPr>
            <w:tcW w:w="2500" w:type="dxa"/>
          </w:tcPr>
          <w:p w14:paraId="2CF0538F" w14:textId="434106CF" w:rsidR="00045FD6" w:rsidRDefault="00EF1F16" w:rsidP="003E7816">
            <w:pPr>
              <w:ind w:left="0" w:firstLine="0"/>
              <w:jc w:val="center"/>
            </w:pPr>
            <w:r>
              <w:t>10</w:t>
            </w:r>
          </w:p>
        </w:tc>
      </w:tr>
      <w:tr w:rsidR="00D83044" w14:paraId="3D3DCBEE" w14:textId="77777777" w:rsidTr="006E14C5">
        <w:tc>
          <w:tcPr>
            <w:tcW w:w="6521" w:type="dxa"/>
          </w:tcPr>
          <w:p w14:paraId="6DB05A55" w14:textId="004550E2" w:rsidR="00D83044" w:rsidRDefault="00D83044" w:rsidP="00DA0078">
            <w:pPr>
              <w:pStyle w:val="ListParagraph"/>
              <w:numPr>
                <w:ilvl w:val="0"/>
                <w:numId w:val="3"/>
              </w:numPr>
              <w:jc w:val="left"/>
              <w:rPr>
                <w:lang w:eastAsia="en-US"/>
              </w:rPr>
            </w:pPr>
            <w:r w:rsidRPr="00D83044">
              <w:rPr>
                <w:lang w:eastAsia="en-US"/>
              </w:rPr>
              <w:t xml:space="preserve">Compliance of the Plan as a </w:t>
            </w:r>
            <w:r w:rsidR="00C47338">
              <w:rPr>
                <w:lang w:eastAsia="en-US"/>
              </w:rPr>
              <w:t>W</w:t>
            </w:r>
            <w:r w:rsidRPr="00D83044">
              <w:rPr>
                <w:lang w:eastAsia="en-US"/>
              </w:rPr>
              <w:t>hole</w:t>
            </w:r>
          </w:p>
        </w:tc>
        <w:tc>
          <w:tcPr>
            <w:tcW w:w="2500" w:type="dxa"/>
          </w:tcPr>
          <w:p w14:paraId="21866E2F" w14:textId="6155F3CB" w:rsidR="00D83044" w:rsidRDefault="00EF1F16" w:rsidP="003E7816">
            <w:pPr>
              <w:ind w:left="0" w:firstLine="0"/>
              <w:jc w:val="center"/>
            </w:pPr>
            <w:r>
              <w:t>1</w:t>
            </w:r>
            <w:r w:rsidR="00046245">
              <w:t>1</w:t>
            </w:r>
          </w:p>
        </w:tc>
      </w:tr>
      <w:tr w:rsidR="00D83044" w14:paraId="218B325A" w14:textId="77777777" w:rsidTr="006E14C5">
        <w:tc>
          <w:tcPr>
            <w:tcW w:w="6521" w:type="dxa"/>
          </w:tcPr>
          <w:p w14:paraId="2EA8A99E" w14:textId="29D8F9E0" w:rsidR="00D83044" w:rsidRDefault="00D83044" w:rsidP="00DA0078">
            <w:pPr>
              <w:pStyle w:val="ListParagraph"/>
              <w:numPr>
                <w:ilvl w:val="0"/>
                <w:numId w:val="3"/>
              </w:numPr>
              <w:jc w:val="left"/>
              <w:rPr>
                <w:lang w:eastAsia="en-US"/>
              </w:rPr>
            </w:pPr>
            <w:r w:rsidRPr="00D83044">
              <w:rPr>
                <w:lang w:eastAsia="en-US"/>
              </w:rPr>
              <w:t xml:space="preserve">Specific </w:t>
            </w:r>
            <w:r w:rsidR="00C47338">
              <w:rPr>
                <w:lang w:eastAsia="en-US"/>
              </w:rPr>
              <w:t>I</w:t>
            </w:r>
            <w:r w:rsidRPr="00D83044">
              <w:rPr>
                <w:lang w:eastAsia="en-US"/>
              </w:rPr>
              <w:t xml:space="preserve">ssues of </w:t>
            </w:r>
            <w:r w:rsidR="00C47338">
              <w:rPr>
                <w:lang w:eastAsia="en-US"/>
              </w:rPr>
              <w:t>C</w:t>
            </w:r>
            <w:r w:rsidRPr="00D83044">
              <w:rPr>
                <w:lang w:eastAsia="en-US"/>
              </w:rPr>
              <w:t>ompliance of the Plan</w:t>
            </w:r>
            <w:r w:rsidR="00B40B24">
              <w:rPr>
                <w:lang w:eastAsia="en-US"/>
              </w:rPr>
              <w:t>’s</w:t>
            </w:r>
            <w:r w:rsidRPr="00D83044">
              <w:rPr>
                <w:lang w:eastAsia="en-US"/>
              </w:rPr>
              <w:t xml:space="preserve"> </w:t>
            </w:r>
            <w:r w:rsidR="00C47338">
              <w:rPr>
                <w:lang w:eastAsia="en-US"/>
              </w:rPr>
              <w:t>P</w:t>
            </w:r>
            <w:r w:rsidRPr="00D83044">
              <w:rPr>
                <w:lang w:eastAsia="en-US"/>
              </w:rPr>
              <w:t>olicies</w:t>
            </w:r>
          </w:p>
        </w:tc>
        <w:tc>
          <w:tcPr>
            <w:tcW w:w="2500" w:type="dxa"/>
          </w:tcPr>
          <w:p w14:paraId="177FEBF1" w14:textId="0364EA72" w:rsidR="00D83044" w:rsidRDefault="006E14C5" w:rsidP="003E7816">
            <w:pPr>
              <w:ind w:left="0" w:firstLine="0"/>
              <w:jc w:val="center"/>
            </w:pPr>
            <w:r>
              <w:t>12</w:t>
            </w:r>
          </w:p>
        </w:tc>
      </w:tr>
      <w:tr w:rsidR="00D83044" w14:paraId="56CC6BD8" w14:textId="77777777" w:rsidTr="006E14C5">
        <w:tc>
          <w:tcPr>
            <w:tcW w:w="6521" w:type="dxa"/>
          </w:tcPr>
          <w:p w14:paraId="300E8C30" w14:textId="67C18DD0" w:rsidR="00D83044" w:rsidRDefault="00D83044" w:rsidP="00AB0ABC">
            <w:pPr>
              <w:pStyle w:val="ListParagraph"/>
              <w:numPr>
                <w:ilvl w:val="0"/>
                <w:numId w:val="17"/>
              </w:numPr>
              <w:ind w:left="1134" w:hanging="283"/>
              <w:jc w:val="left"/>
              <w:rPr>
                <w:lang w:eastAsia="en-US"/>
              </w:rPr>
            </w:pPr>
            <w:r w:rsidRPr="00D83044">
              <w:rPr>
                <w:lang w:eastAsia="en-US"/>
              </w:rPr>
              <w:t>Promoting Regeneration</w:t>
            </w:r>
          </w:p>
        </w:tc>
        <w:tc>
          <w:tcPr>
            <w:tcW w:w="2500" w:type="dxa"/>
          </w:tcPr>
          <w:p w14:paraId="3924E0AF" w14:textId="20CB48B8" w:rsidR="00D83044" w:rsidRDefault="006E14C5" w:rsidP="003E7816">
            <w:pPr>
              <w:ind w:left="0" w:firstLine="0"/>
              <w:jc w:val="center"/>
            </w:pPr>
            <w:r>
              <w:t>13</w:t>
            </w:r>
          </w:p>
        </w:tc>
      </w:tr>
      <w:tr w:rsidR="00D83044" w14:paraId="29184097" w14:textId="77777777" w:rsidTr="006E14C5">
        <w:tc>
          <w:tcPr>
            <w:tcW w:w="6521" w:type="dxa"/>
          </w:tcPr>
          <w:p w14:paraId="0D98A832" w14:textId="1A00BB37" w:rsidR="00D83044" w:rsidRDefault="00D83044" w:rsidP="00AB0ABC">
            <w:pPr>
              <w:pStyle w:val="ListParagraph"/>
              <w:numPr>
                <w:ilvl w:val="0"/>
                <w:numId w:val="17"/>
              </w:numPr>
              <w:ind w:left="1134" w:hanging="283"/>
              <w:jc w:val="left"/>
              <w:rPr>
                <w:lang w:eastAsia="en-US"/>
              </w:rPr>
            </w:pPr>
            <w:r w:rsidRPr="00D83044">
              <w:rPr>
                <w:lang w:eastAsia="en-US"/>
              </w:rPr>
              <w:t>Supporting Business Uses and Development</w:t>
            </w:r>
          </w:p>
        </w:tc>
        <w:tc>
          <w:tcPr>
            <w:tcW w:w="2500" w:type="dxa"/>
          </w:tcPr>
          <w:p w14:paraId="347935F8" w14:textId="0E1ED3D8" w:rsidR="00D83044" w:rsidRDefault="006E14C5" w:rsidP="003E7816">
            <w:pPr>
              <w:ind w:left="0" w:firstLine="0"/>
              <w:jc w:val="center"/>
            </w:pPr>
            <w:r>
              <w:t>1</w:t>
            </w:r>
            <w:r w:rsidR="00046245">
              <w:t>7</w:t>
            </w:r>
          </w:p>
        </w:tc>
      </w:tr>
      <w:tr w:rsidR="00D83044" w14:paraId="5EEF49F7" w14:textId="77777777" w:rsidTr="006E14C5">
        <w:tc>
          <w:tcPr>
            <w:tcW w:w="6521" w:type="dxa"/>
          </w:tcPr>
          <w:p w14:paraId="61909638" w14:textId="2AA17245" w:rsidR="00D83044" w:rsidRDefault="00D83044" w:rsidP="00AB0ABC">
            <w:pPr>
              <w:pStyle w:val="ListParagraph"/>
              <w:numPr>
                <w:ilvl w:val="0"/>
                <w:numId w:val="17"/>
              </w:numPr>
              <w:ind w:left="1134" w:hanging="283"/>
              <w:jc w:val="left"/>
              <w:rPr>
                <w:lang w:eastAsia="en-US"/>
              </w:rPr>
            </w:pPr>
            <w:r w:rsidRPr="00D83044">
              <w:rPr>
                <w:lang w:eastAsia="en-US"/>
              </w:rPr>
              <w:t>Green and Open Space</w:t>
            </w:r>
          </w:p>
        </w:tc>
        <w:tc>
          <w:tcPr>
            <w:tcW w:w="2500" w:type="dxa"/>
          </w:tcPr>
          <w:p w14:paraId="02DFCE05" w14:textId="6E1FA3F5" w:rsidR="00D83044" w:rsidRDefault="006E14C5" w:rsidP="003E7816">
            <w:pPr>
              <w:ind w:left="0" w:firstLine="0"/>
              <w:jc w:val="center"/>
            </w:pPr>
            <w:r>
              <w:t>1</w:t>
            </w:r>
            <w:r w:rsidR="00046245">
              <w:t>9</w:t>
            </w:r>
          </w:p>
        </w:tc>
      </w:tr>
      <w:tr w:rsidR="00D83044" w14:paraId="08514145" w14:textId="77777777" w:rsidTr="006E14C5">
        <w:tc>
          <w:tcPr>
            <w:tcW w:w="6521" w:type="dxa"/>
          </w:tcPr>
          <w:p w14:paraId="640F1E73" w14:textId="033093CC" w:rsidR="00D83044" w:rsidRDefault="00D83044" w:rsidP="00AB0ABC">
            <w:pPr>
              <w:pStyle w:val="ListParagraph"/>
              <w:numPr>
                <w:ilvl w:val="0"/>
                <w:numId w:val="17"/>
              </w:numPr>
              <w:ind w:left="1134" w:hanging="283"/>
              <w:jc w:val="left"/>
              <w:rPr>
                <w:lang w:eastAsia="en-US"/>
              </w:rPr>
            </w:pPr>
            <w:r w:rsidRPr="00D83044">
              <w:rPr>
                <w:lang w:eastAsia="en-US"/>
              </w:rPr>
              <w:t>Promoting Environmental Quality</w:t>
            </w:r>
          </w:p>
        </w:tc>
        <w:tc>
          <w:tcPr>
            <w:tcW w:w="2500" w:type="dxa"/>
          </w:tcPr>
          <w:p w14:paraId="33100309" w14:textId="6216AE3A" w:rsidR="00D83044" w:rsidRDefault="00046245" w:rsidP="003E7816">
            <w:pPr>
              <w:ind w:left="0" w:firstLine="0"/>
              <w:jc w:val="center"/>
            </w:pPr>
            <w:r>
              <w:t>20</w:t>
            </w:r>
          </w:p>
        </w:tc>
      </w:tr>
      <w:tr w:rsidR="00D83044" w14:paraId="52A0A995" w14:textId="77777777" w:rsidTr="006E14C5">
        <w:tc>
          <w:tcPr>
            <w:tcW w:w="6521" w:type="dxa"/>
          </w:tcPr>
          <w:p w14:paraId="0B6D5A07" w14:textId="64B047DA" w:rsidR="00D83044" w:rsidRDefault="00D83044" w:rsidP="00AB0ABC">
            <w:pPr>
              <w:pStyle w:val="ListParagraph"/>
              <w:numPr>
                <w:ilvl w:val="0"/>
                <w:numId w:val="17"/>
              </w:numPr>
              <w:ind w:left="1134" w:hanging="283"/>
              <w:jc w:val="left"/>
              <w:rPr>
                <w:lang w:eastAsia="en-US"/>
              </w:rPr>
            </w:pPr>
            <w:r w:rsidRPr="00D83044">
              <w:rPr>
                <w:lang w:eastAsia="en-US"/>
              </w:rPr>
              <w:t>Mobility and Transport</w:t>
            </w:r>
          </w:p>
        </w:tc>
        <w:tc>
          <w:tcPr>
            <w:tcW w:w="2500" w:type="dxa"/>
          </w:tcPr>
          <w:p w14:paraId="7D2369D9" w14:textId="3D020B6F" w:rsidR="00D83044" w:rsidRDefault="006E14C5" w:rsidP="003E7816">
            <w:pPr>
              <w:ind w:left="0" w:firstLine="0"/>
              <w:jc w:val="center"/>
            </w:pPr>
            <w:r>
              <w:t>2</w:t>
            </w:r>
            <w:r w:rsidR="00046245">
              <w:t>1</w:t>
            </w:r>
          </w:p>
        </w:tc>
      </w:tr>
      <w:tr w:rsidR="00045FD6" w14:paraId="74E5AD5C" w14:textId="77777777" w:rsidTr="006E14C5">
        <w:tc>
          <w:tcPr>
            <w:tcW w:w="6521" w:type="dxa"/>
          </w:tcPr>
          <w:p w14:paraId="2C21BB19" w14:textId="77777777" w:rsidR="00045FD6" w:rsidRDefault="00045FD6" w:rsidP="003E7816">
            <w:pPr>
              <w:pStyle w:val="ListParagraph"/>
              <w:ind w:firstLine="0"/>
              <w:jc w:val="left"/>
              <w:rPr>
                <w:lang w:eastAsia="en-US"/>
              </w:rPr>
            </w:pPr>
          </w:p>
        </w:tc>
        <w:tc>
          <w:tcPr>
            <w:tcW w:w="2500" w:type="dxa"/>
          </w:tcPr>
          <w:p w14:paraId="25136A67" w14:textId="77777777" w:rsidR="00045FD6" w:rsidRDefault="00045FD6" w:rsidP="003E7816">
            <w:pPr>
              <w:ind w:left="0" w:firstLine="0"/>
              <w:jc w:val="center"/>
            </w:pPr>
          </w:p>
        </w:tc>
      </w:tr>
      <w:tr w:rsidR="00045FD6" w14:paraId="20EDA2DC" w14:textId="77777777" w:rsidTr="006E14C5">
        <w:tc>
          <w:tcPr>
            <w:tcW w:w="6521" w:type="dxa"/>
          </w:tcPr>
          <w:p w14:paraId="2A388840" w14:textId="77777777" w:rsidR="00045FD6" w:rsidRPr="00733278" w:rsidRDefault="00045FD6" w:rsidP="00DA0078">
            <w:pPr>
              <w:pStyle w:val="ListParagraph"/>
              <w:numPr>
                <w:ilvl w:val="0"/>
                <w:numId w:val="11"/>
              </w:numPr>
              <w:ind w:left="321" w:hanging="284"/>
              <w:rPr>
                <w:b/>
                <w:lang w:eastAsia="en-US"/>
              </w:rPr>
            </w:pPr>
            <w:r>
              <w:rPr>
                <w:b/>
                <w:lang w:eastAsia="en-US"/>
              </w:rPr>
              <w:t>Conclusions</w:t>
            </w:r>
          </w:p>
        </w:tc>
        <w:tc>
          <w:tcPr>
            <w:tcW w:w="2500" w:type="dxa"/>
          </w:tcPr>
          <w:p w14:paraId="55CFD365" w14:textId="67DB3C7A" w:rsidR="00045FD6" w:rsidRDefault="006E14C5" w:rsidP="003E7816">
            <w:pPr>
              <w:ind w:left="0" w:firstLine="0"/>
              <w:jc w:val="center"/>
            </w:pPr>
            <w:r>
              <w:t>22</w:t>
            </w:r>
          </w:p>
        </w:tc>
      </w:tr>
      <w:tr w:rsidR="00045FD6" w14:paraId="2DFCDB6F" w14:textId="77777777" w:rsidTr="006E14C5">
        <w:tc>
          <w:tcPr>
            <w:tcW w:w="6521" w:type="dxa"/>
          </w:tcPr>
          <w:p w14:paraId="578D8B3E" w14:textId="77777777" w:rsidR="00045FD6" w:rsidRDefault="00045FD6" w:rsidP="00DA0078">
            <w:pPr>
              <w:pStyle w:val="ListParagraph"/>
              <w:numPr>
                <w:ilvl w:val="0"/>
                <w:numId w:val="3"/>
              </w:numPr>
              <w:rPr>
                <w:lang w:eastAsia="en-US"/>
              </w:rPr>
            </w:pPr>
            <w:r>
              <w:rPr>
                <w:lang w:eastAsia="en-US"/>
              </w:rPr>
              <w:t>Summary</w:t>
            </w:r>
          </w:p>
        </w:tc>
        <w:tc>
          <w:tcPr>
            <w:tcW w:w="2500" w:type="dxa"/>
          </w:tcPr>
          <w:p w14:paraId="6C23A1A3" w14:textId="42D5FEC9" w:rsidR="00045FD6" w:rsidRDefault="006E14C5" w:rsidP="003E7816">
            <w:pPr>
              <w:ind w:left="0" w:firstLine="0"/>
              <w:jc w:val="center"/>
            </w:pPr>
            <w:r>
              <w:t>22</w:t>
            </w:r>
          </w:p>
        </w:tc>
      </w:tr>
      <w:tr w:rsidR="00045FD6" w14:paraId="681A2906" w14:textId="77777777" w:rsidTr="006E14C5">
        <w:tc>
          <w:tcPr>
            <w:tcW w:w="6521" w:type="dxa"/>
          </w:tcPr>
          <w:p w14:paraId="587AF67B" w14:textId="51403C16" w:rsidR="00045FD6" w:rsidRPr="00733278" w:rsidRDefault="00045FD6" w:rsidP="00DA0078">
            <w:pPr>
              <w:pStyle w:val="ListParagraph"/>
              <w:numPr>
                <w:ilvl w:val="0"/>
                <w:numId w:val="3"/>
              </w:numPr>
              <w:spacing w:line="256" w:lineRule="auto"/>
              <w:jc w:val="left"/>
              <w:rPr>
                <w:b/>
                <w:lang w:eastAsia="en-US"/>
              </w:rPr>
            </w:pPr>
            <w:r>
              <w:rPr>
                <w:lang w:eastAsia="en-US"/>
              </w:rPr>
              <w:t>The Referendum</w:t>
            </w:r>
            <w:r w:rsidR="00B40B24">
              <w:rPr>
                <w:lang w:eastAsia="en-US"/>
              </w:rPr>
              <w:t>s</w:t>
            </w:r>
            <w:r>
              <w:rPr>
                <w:lang w:eastAsia="en-US"/>
              </w:rPr>
              <w:t xml:space="preserve"> and </w:t>
            </w:r>
            <w:r w:rsidR="00B40B24">
              <w:rPr>
                <w:lang w:eastAsia="en-US"/>
              </w:rPr>
              <w:t>their</w:t>
            </w:r>
            <w:r w:rsidR="00A42C8A">
              <w:rPr>
                <w:lang w:eastAsia="en-US"/>
              </w:rPr>
              <w:t xml:space="preserve"> </w:t>
            </w:r>
            <w:r>
              <w:rPr>
                <w:lang w:eastAsia="en-US"/>
              </w:rPr>
              <w:t>Area</w:t>
            </w:r>
          </w:p>
        </w:tc>
        <w:tc>
          <w:tcPr>
            <w:tcW w:w="2500" w:type="dxa"/>
          </w:tcPr>
          <w:p w14:paraId="004EBFA1" w14:textId="52EAD22E" w:rsidR="00045FD6" w:rsidRDefault="006E14C5" w:rsidP="003E7816">
            <w:pPr>
              <w:ind w:left="0" w:firstLine="0"/>
              <w:jc w:val="center"/>
            </w:pPr>
            <w:r>
              <w:t>22</w:t>
            </w:r>
          </w:p>
        </w:tc>
      </w:tr>
      <w:tr w:rsidR="00045FD6" w14:paraId="57EBE7E1" w14:textId="77777777" w:rsidTr="006E14C5">
        <w:tc>
          <w:tcPr>
            <w:tcW w:w="6521" w:type="dxa"/>
          </w:tcPr>
          <w:p w14:paraId="4EA4CB75" w14:textId="77777777" w:rsidR="00045FD6" w:rsidRDefault="00045FD6" w:rsidP="00DA0078">
            <w:pPr>
              <w:pStyle w:val="ListParagraph"/>
              <w:numPr>
                <w:ilvl w:val="0"/>
                <w:numId w:val="3"/>
              </w:numPr>
              <w:rPr>
                <w:lang w:eastAsia="en-US"/>
              </w:rPr>
            </w:pPr>
            <w:r>
              <w:rPr>
                <w:lang w:eastAsia="en-US"/>
              </w:rPr>
              <w:t>Overview</w:t>
            </w:r>
          </w:p>
        </w:tc>
        <w:tc>
          <w:tcPr>
            <w:tcW w:w="2500" w:type="dxa"/>
          </w:tcPr>
          <w:p w14:paraId="231E2E88" w14:textId="05B411D8" w:rsidR="00045FD6" w:rsidRDefault="006E14C5" w:rsidP="003E7816">
            <w:pPr>
              <w:ind w:left="0" w:firstLine="0"/>
              <w:jc w:val="center"/>
            </w:pPr>
            <w:r>
              <w:t>22</w:t>
            </w:r>
          </w:p>
        </w:tc>
      </w:tr>
      <w:tr w:rsidR="00045FD6" w14:paraId="10EC007D" w14:textId="77777777" w:rsidTr="006E14C5">
        <w:tc>
          <w:tcPr>
            <w:tcW w:w="6521" w:type="dxa"/>
          </w:tcPr>
          <w:p w14:paraId="102B7FBA" w14:textId="77777777" w:rsidR="00045FD6" w:rsidRDefault="00045FD6" w:rsidP="003E7816">
            <w:pPr>
              <w:pStyle w:val="ListParagraph"/>
              <w:ind w:firstLine="0"/>
              <w:rPr>
                <w:lang w:eastAsia="en-US"/>
              </w:rPr>
            </w:pPr>
          </w:p>
        </w:tc>
        <w:tc>
          <w:tcPr>
            <w:tcW w:w="2500" w:type="dxa"/>
          </w:tcPr>
          <w:p w14:paraId="6FCFC601" w14:textId="77777777" w:rsidR="00045FD6" w:rsidRDefault="00045FD6" w:rsidP="003E7816">
            <w:pPr>
              <w:ind w:left="0" w:firstLine="0"/>
              <w:jc w:val="center"/>
            </w:pPr>
          </w:p>
        </w:tc>
      </w:tr>
      <w:tr w:rsidR="00D83044" w14:paraId="4A3EC9D6" w14:textId="77777777" w:rsidTr="006E14C5">
        <w:tc>
          <w:tcPr>
            <w:tcW w:w="6521" w:type="dxa"/>
          </w:tcPr>
          <w:p w14:paraId="3818EA13" w14:textId="5F149DC0" w:rsidR="00D83044" w:rsidRPr="00D83044" w:rsidRDefault="00D83044" w:rsidP="00D83044">
            <w:pPr>
              <w:rPr>
                <w:b/>
                <w:lang w:eastAsia="en-US"/>
              </w:rPr>
            </w:pPr>
            <w:r w:rsidRPr="00D83044">
              <w:rPr>
                <w:b/>
                <w:lang w:eastAsia="en-US"/>
              </w:rPr>
              <w:t>Appendix 1: Modifications</w:t>
            </w:r>
          </w:p>
        </w:tc>
        <w:tc>
          <w:tcPr>
            <w:tcW w:w="2500" w:type="dxa"/>
          </w:tcPr>
          <w:p w14:paraId="2ED8B259" w14:textId="47B67C8C" w:rsidR="00D83044" w:rsidRDefault="006E14C5" w:rsidP="003E7816">
            <w:pPr>
              <w:ind w:left="0" w:firstLine="0"/>
              <w:jc w:val="center"/>
            </w:pPr>
            <w:r>
              <w:t>24</w:t>
            </w:r>
          </w:p>
        </w:tc>
      </w:tr>
      <w:tr w:rsidR="00FD0327" w14:paraId="10974637" w14:textId="77777777" w:rsidTr="006E14C5">
        <w:tc>
          <w:tcPr>
            <w:tcW w:w="6521" w:type="dxa"/>
          </w:tcPr>
          <w:p w14:paraId="77219241" w14:textId="76F58CEC" w:rsidR="00FD0327" w:rsidRPr="00D83044" w:rsidRDefault="00FD0327" w:rsidP="00DC4FB3">
            <w:pPr>
              <w:ind w:left="0" w:firstLine="0"/>
              <w:jc w:val="left"/>
              <w:rPr>
                <w:b/>
                <w:lang w:eastAsia="en-US"/>
              </w:rPr>
            </w:pPr>
            <w:r w:rsidRPr="00D83044">
              <w:rPr>
                <w:b/>
                <w:lang w:eastAsia="en-US"/>
              </w:rPr>
              <w:t>Appendix 2: Statement of Common Ground</w:t>
            </w:r>
            <w:r w:rsidR="00DC4FB3">
              <w:rPr>
                <w:b/>
                <w:lang w:eastAsia="en-US"/>
              </w:rPr>
              <w:t xml:space="preserve"> </w:t>
            </w:r>
            <w:r>
              <w:rPr>
                <w:b/>
                <w:lang w:eastAsia="en-US"/>
              </w:rPr>
              <w:t>(December 2020)</w:t>
            </w:r>
          </w:p>
        </w:tc>
        <w:tc>
          <w:tcPr>
            <w:tcW w:w="2500" w:type="dxa"/>
          </w:tcPr>
          <w:p w14:paraId="5DF4BA2D" w14:textId="2F115BB8" w:rsidR="00FD0327" w:rsidRDefault="00FD0327" w:rsidP="00FD0327">
            <w:pPr>
              <w:ind w:left="0" w:firstLine="0"/>
              <w:jc w:val="left"/>
            </w:pPr>
            <w:r>
              <w:t xml:space="preserve">Attached Separately </w:t>
            </w:r>
          </w:p>
        </w:tc>
      </w:tr>
    </w:tbl>
    <w:p w14:paraId="72E24963" w14:textId="77777777" w:rsidR="00170360" w:rsidRDefault="00170360">
      <w:r>
        <w:br w:type="page"/>
      </w:r>
    </w:p>
    <w:tbl>
      <w:tblPr>
        <w:tblStyle w:val="TableGrid"/>
        <w:tblW w:w="0" w:type="auto"/>
        <w:tblInd w:w="-5" w:type="dxa"/>
        <w:tblLook w:val="04A0" w:firstRow="1" w:lastRow="0" w:firstColumn="1" w:lastColumn="0" w:noHBand="0" w:noVBand="1"/>
      </w:tblPr>
      <w:tblGrid>
        <w:gridCol w:w="9021"/>
      </w:tblGrid>
      <w:tr w:rsidR="00855C44" w14:paraId="0C52CC9B" w14:textId="77777777" w:rsidTr="00045FD6">
        <w:tc>
          <w:tcPr>
            <w:tcW w:w="9021" w:type="dxa"/>
            <w:shd w:val="clear" w:color="auto" w:fill="F2F2F2" w:themeFill="background1" w:themeFillShade="F2"/>
          </w:tcPr>
          <w:p w14:paraId="6E2647AF" w14:textId="77777777" w:rsidR="00855C44" w:rsidRDefault="00971A14" w:rsidP="007660DF">
            <w:pPr>
              <w:spacing w:before="120"/>
              <w:ind w:left="0" w:firstLine="0"/>
              <w:jc w:val="center"/>
            </w:pPr>
            <w:r w:rsidRPr="002C180A">
              <w:lastRenderedPageBreak/>
              <w:br w:type="page"/>
            </w:r>
            <w:r w:rsidR="00955554" w:rsidRPr="00971A14">
              <w:rPr>
                <w:b/>
              </w:rPr>
              <w:t>Main Findings</w:t>
            </w:r>
            <w:r w:rsidR="00955554">
              <w:t xml:space="preserve"> - </w:t>
            </w:r>
            <w:r w:rsidR="00855C44">
              <w:t>Executive Summary</w:t>
            </w:r>
          </w:p>
          <w:p w14:paraId="4D98F3FE" w14:textId="77777777" w:rsidR="00855C44" w:rsidRDefault="00855C44" w:rsidP="00855C44">
            <w:pPr>
              <w:ind w:left="0" w:firstLine="0"/>
              <w:jc w:val="center"/>
            </w:pPr>
          </w:p>
          <w:p w14:paraId="7FD53501" w14:textId="039F5994" w:rsidR="00955554" w:rsidRDefault="007C2D78" w:rsidP="00955554">
            <w:pPr>
              <w:ind w:left="0" w:firstLine="0"/>
              <w:jc w:val="left"/>
            </w:pPr>
            <w:r>
              <w:t>F</w:t>
            </w:r>
            <w:r w:rsidR="0056421B">
              <w:t xml:space="preserve">rom my examination of the </w:t>
            </w:r>
            <w:r w:rsidR="002E7CC9">
              <w:t xml:space="preserve">Fitzrovia West </w:t>
            </w:r>
            <w:r w:rsidR="004E55A6">
              <w:t>Neighbourhood P</w:t>
            </w:r>
            <w:r w:rsidR="0056421B">
              <w:t>lan</w:t>
            </w:r>
            <w:r w:rsidR="00015BA5">
              <w:t xml:space="preserve"> (the Plan</w:t>
            </w:r>
            <w:r w:rsidR="00AF36D2">
              <w:t>/ FWNP</w:t>
            </w:r>
            <w:r w:rsidR="00015BA5">
              <w:t>)</w:t>
            </w:r>
            <w:r w:rsidR="0056421B">
              <w:t xml:space="preserve"> a</w:t>
            </w:r>
            <w:r w:rsidR="00A003A7">
              <w:t>nd its supporting documentation</w:t>
            </w:r>
            <w:r w:rsidR="0056421B">
              <w:t xml:space="preserve"> including the </w:t>
            </w:r>
            <w:r>
              <w:t>representations</w:t>
            </w:r>
            <w:r w:rsidR="0056421B">
              <w:t xml:space="preserve"> made, I have concluded that sub</w:t>
            </w:r>
            <w:r w:rsidR="006B570E">
              <w:t>j</w:t>
            </w:r>
            <w:r>
              <w:t>ect</w:t>
            </w:r>
            <w:r w:rsidR="0056421B">
              <w:t xml:space="preserve"> to the </w:t>
            </w:r>
            <w:r>
              <w:t xml:space="preserve">policy </w:t>
            </w:r>
            <w:r w:rsidR="0056421B">
              <w:t>mo</w:t>
            </w:r>
            <w:r>
              <w:t xml:space="preserve">difications </w:t>
            </w:r>
            <w:r w:rsidR="0056421B">
              <w:t xml:space="preserve">set out </w:t>
            </w:r>
            <w:r>
              <w:t xml:space="preserve">in this report, the </w:t>
            </w:r>
            <w:r w:rsidR="00E718D8">
              <w:t>P</w:t>
            </w:r>
            <w:r>
              <w:t>lan meets the Basic Conditions.</w:t>
            </w:r>
          </w:p>
          <w:p w14:paraId="315F707C" w14:textId="77777777" w:rsidR="007C2D78" w:rsidRDefault="007C2D78" w:rsidP="00955554">
            <w:pPr>
              <w:ind w:left="0" w:firstLine="0"/>
              <w:jc w:val="left"/>
            </w:pPr>
          </w:p>
          <w:p w14:paraId="356B081C" w14:textId="77777777" w:rsidR="007C2D78" w:rsidRDefault="007C2D78" w:rsidP="00955554">
            <w:pPr>
              <w:ind w:left="0" w:firstLine="0"/>
              <w:jc w:val="left"/>
            </w:pPr>
            <w:r>
              <w:t>I have also concluded that:</w:t>
            </w:r>
          </w:p>
          <w:p w14:paraId="6622E373" w14:textId="77777777" w:rsidR="007C2D78" w:rsidRDefault="007C2D78" w:rsidP="00955554">
            <w:pPr>
              <w:ind w:left="0" w:firstLine="0"/>
              <w:jc w:val="left"/>
            </w:pPr>
          </w:p>
          <w:p w14:paraId="637CA557" w14:textId="07885E5D" w:rsidR="007C2D78" w:rsidRDefault="00E718D8" w:rsidP="00DA0078">
            <w:pPr>
              <w:pStyle w:val="ListParagraph"/>
              <w:numPr>
                <w:ilvl w:val="3"/>
                <w:numId w:val="1"/>
              </w:numPr>
              <w:ind w:left="927"/>
              <w:jc w:val="left"/>
            </w:pPr>
            <w:r>
              <w:t>The P</w:t>
            </w:r>
            <w:r w:rsidR="007C2D78">
              <w:t>lan has been prepared and submitted for examinatio</w:t>
            </w:r>
            <w:r w:rsidR="004E55A6">
              <w:t xml:space="preserve">n by a qualifying body – </w:t>
            </w:r>
            <w:r w:rsidR="002E7CC9">
              <w:t>Fitzrovia West Neighbourhood Forum</w:t>
            </w:r>
            <w:r w:rsidR="007C2D78">
              <w:t>;</w:t>
            </w:r>
          </w:p>
          <w:p w14:paraId="3FDFF065" w14:textId="1FF831D4" w:rsidR="007C2D78" w:rsidRDefault="007C2D78" w:rsidP="00DA0078">
            <w:pPr>
              <w:pStyle w:val="ListParagraph"/>
              <w:numPr>
                <w:ilvl w:val="3"/>
                <w:numId w:val="1"/>
              </w:numPr>
              <w:ind w:left="927"/>
              <w:jc w:val="left"/>
            </w:pPr>
            <w:r>
              <w:t xml:space="preserve">The </w:t>
            </w:r>
            <w:r w:rsidR="00E718D8">
              <w:t>P</w:t>
            </w:r>
            <w:r>
              <w:t xml:space="preserve">lan has been prepared for an area properly designated – </w:t>
            </w:r>
            <w:r w:rsidR="002E7CC9">
              <w:t>Fitzrovia West as illustrated on Figure 1 of the Plan</w:t>
            </w:r>
            <w:r w:rsidR="00363D31">
              <w:t>;</w:t>
            </w:r>
          </w:p>
          <w:p w14:paraId="0D161ADA" w14:textId="28F93903" w:rsidR="007C2D78" w:rsidRDefault="00E718D8" w:rsidP="00DA0078">
            <w:pPr>
              <w:pStyle w:val="ListParagraph"/>
              <w:numPr>
                <w:ilvl w:val="3"/>
                <w:numId w:val="1"/>
              </w:numPr>
              <w:ind w:left="927"/>
              <w:jc w:val="left"/>
            </w:pPr>
            <w:r>
              <w:t>The P</w:t>
            </w:r>
            <w:r w:rsidR="007C2D78">
              <w:t>lan</w:t>
            </w:r>
            <w:r w:rsidR="002E7CC9">
              <w:t>, with modification to the front cover</w:t>
            </w:r>
            <w:r w:rsidR="000A7E98">
              <w:rPr>
                <w:rStyle w:val="FootnoteReference"/>
              </w:rPr>
              <w:footnoteReference w:id="2"/>
            </w:r>
            <w:r w:rsidR="00CE01AD">
              <w:t>,</w:t>
            </w:r>
            <w:r w:rsidR="007C2D78">
              <w:t xml:space="preserve"> </w:t>
            </w:r>
            <w:r w:rsidR="009C2FF0">
              <w:t xml:space="preserve">will </w:t>
            </w:r>
            <w:r w:rsidR="007C2D78">
              <w:t>specif</w:t>
            </w:r>
            <w:r w:rsidR="00D73353">
              <w:t>y</w:t>
            </w:r>
            <w:r w:rsidR="007C2D78">
              <w:t xml:space="preserve"> the period to which it is to take effect – </w:t>
            </w:r>
            <w:r w:rsidR="00B83C94">
              <w:t>20</w:t>
            </w:r>
            <w:r w:rsidR="002E7CC9">
              <w:t>20</w:t>
            </w:r>
            <w:r w:rsidR="009C2FF0">
              <w:t xml:space="preserve"> to</w:t>
            </w:r>
            <w:r w:rsidR="00B83C94">
              <w:t xml:space="preserve"> </w:t>
            </w:r>
            <w:r w:rsidR="006D1A26">
              <w:t>20</w:t>
            </w:r>
            <w:r w:rsidR="002E7CC9">
              <w:t>40</w:t>
            </w:r>
            <w:r w:rsidR="007C2D78">
              <w:t xml:space="preserve">; and </w:t>
            </w:r>
          </w:p>
          <w:p w14:paraId="2410CD9A" w14:textId="77777777" w:rsidR="007C2D78" w:rsidRDefault="007C2D78" w:rsidP="00DA0078">
            <w:pPr>
              <w:pStyle w:val="ListParagraph"/>
              <w:numPr>
                <w:ilvl w:val="3"/>
                <w:numId w:val="1"/>
              </w:numPr>
              <w:ind w:left="927"/>
              <w:jc w:val="left"/>
            </w:pPr>
            <w:r>
              <w:t>The polic</w:t>
            </w:r>
            <w:r w:rsidR="00F5450A">
              <w:t>i</w:t>
            </w:r>
            <w:r>
              <w:t>es relate to the development and use of land for a designated neighbourhood area.</w:t>
            </w:r>
          </w:p>
          <w:p w14:paraId="33AC4D76" w14:textId="77777777" w:rsidR="007C2D78" w:rsidRDefault="007C2D78" w:rsidP="007C2D78">
            <w:pPr>
              <w:ind w:left="0" w:firstLine="0"/>
              <w:jc w:val="left"/>
            </w:pPr>
          </w:p>
          <w:p w14:paraId="74246A67" w14:textId="1B7F3286" w:rsidR="007C2D78" w:rsidRDefault="007C2D78" w:rsidP="007C2D78">
            <w:pPr>
              <w:ind w:left="0" w:firstLine="0"/>
              <w:jc w:val="left"/>
            </w:pPr>
            <w:r>
              <w:t>I</w:t>
            </w:r>
            <w:r w:rsidR="003E7816">
              <w:t xml:space="preserve"> </w:t>
            </w:r>
            <w:r>
              <w:t>recom</w:t>
            </w:r>
            <w:r w:rsidR="006B570E">
              <w:t xml:space="preserve">mend that the </w:t>
            </w:r>
            <w:r w:rsidR="00E718D8">
              <w:t>P</w:t>
            </w:r>
            <w:r>
              <w:t>lan, once modified</w:t>
            </w:r>
            <w:r w:rsidR="006B570E">
              <w:t xml:space="preserve">, </w:t>
            </w:r>
            <w:r>
              <w:t xml:space="preserve">proceeds to </w:t>
            </w:r>
            <w:r w:rsidR="00E143F2">
              <w:t>r</w:t>
            </w:r>
            <w:r>
              <w:t>eferendum</w:t>
            </w:r>
            <w:r w:rsidR="00A809C4">
              <w:t>s</w:t>
            </w:r>
            <w:r>
              <w:t xml:space="preserve"> on the ba</w:t>
            </w:r>
            <w:r w:rsidR="006B570E">
              <w:t>s</w:t>
            </w:r>
            <w:r>
              <w:t xml:space="preserve">is </w:t>
            </w:r>
            <w:r w:rsidR="006B570E">
              <w:t xml:space="preserve">that it has </w:t>
            </w:r>
            <w:r>
              <w:t>met all the rel</w:t>
            </w:r>
            <w:r w:rsidR="006B570E">
              <w:t>e</w:t>
            </w:r>
            <w:r>
              <w:t>v</w:t>
            </w:r>
            <w:r w:rsidR="006B570E">
              <w:t>a</w:t>
            </w:r>
            <w:r>
              <w:t>nt legal requi</w:t>
            </w:r>
            <w:r w:rsidR="006B570E">
              <w:t>rements</w:t>
            </w:r>
            <w:r>
              <w:t xml:space="preserve">. </w:t>
            </w:r>
          </w:p>
          <w:p w14:paraId="3412D6A6" w14:textId="77777777" w:rsidR="007C2D78" w:rsidRDefault="007C2D78" w:rsidP="007C2D78">
            <w:pPr>
              <w:ind w:left="0" w:firstLine="0"/>
              <w:jc w:val="left"/>
            </w:pPr>
          </w:p>
          <w:p w14:paraId="51C16111" w14:textId="188084FE" w:rsidR="00855C44" w:rsidRDefault="006B570E" w:rsidP="007C2D78">
            <w:pPr>
              <w:ind w:left="0" w:firstLine="0"/>
              <w:jc w:val="left"/>
            </w:pPr>
            <w:r>
              <w:t xml:space="preserve">I have considered whether the </w:t>
            </w:r>
            <w:r w:rsidR="007C2D78">
              <w:t>refer</w:t>
            </w:r>
            <w:r>
              <w:t>e</w:t>
            </w:r>
            <w:r w:rsidR="007C2D78">
              <w:t>ndu</w:t>
            </w:r>
            <w:r>
              <w:t>m</w:t>
            </w:r>
            <w:r w:rsidR="00CE01AD">
              <w:t>s’</w:t>
            </w:r>
            <w:r w:rsidR="007C2D78">
              <w:t xml:space="preserve"> area </w:t>
            </w:r>
            <w:r>
              <w:t>should extend beyond the designated are</w:t>
            </w:r>
            <w:r w:rsidR="00F5450A">
              <w:t>a</w:t>
            </w:r>
            <w:r w:rsidR="00E718D8">
              <w:t xml:space="preserve"> to which the P</w:t>
            </w:r>
            <w:r>
              <w:t xml:space="preserve">lan relates and have concluded </w:t>
            </w:r>
            <w:r w:rsidR="004E55A6">
              <w:t xml:space="preserve">that </w:t>
            </w:r>
            <w:r>
              <w:t xml:space="preserve">it </w:t>
            </w:r>
            <w:r w:rsidRPr="003E7816">
              <w:t>should not.</w:t>
            </w:r>
          </w:p>
          <w:p w14:paraId="02B59CF3" w14:textId="77777777" w:rsidR="00855C44" w:rsidRDefault="00855C44">
            <w:pPr>
              <w:ind w:left="0" w:firstLine="0"/>
            </w:pPr>
          </w:p>
        </w:tc>
      </w:tr>
    </w:tbl>
    <w:p w14:paraId="5F7FFDDF" w14:textId="77777777" w:rsidR="00855C44" w:rsidRDefault="00855C44"/>
    <w:p w14:paraId="4C3B413F" w14:textId="77777777" w:rsidR="00955554" w:rsidRDefault="00955554">
      <w:pPr>
        <w:spacing w:after="160" w:line="259" w:lineRule="auto"/>
        <w:ind w:left="0" w:firstLine="0"/>
        <w:jc w:val="left"/>
      </w:pPr>
    </w:p>
    <w:p w14:paraId="1842F85D" w14:textId="77777777" w:rsidR="0083641B" w:rsidRDefault="00955554" w:rsidP="0083641B">
      <w:pPr>
        <w:spacing w:line="259" w:lineRule="auto"/>
        <w:jc w:val="left"/>
        <w:rPr>
          <w:b/>
        </w:rPr>
      </w:pPr>
      <w:r w:rsidRPr="002B0246">
        <w:rPr>
          <w:b/>
        </w:rPr>
        <w:t>1. Introduction and Background</w:t>
      </w:r>
    </w:p>
    <w:p w14:paraId="5C3EBF88" w14:textId="2C011861" w:rsidR="00955554" w:rsidRDefault="00955554" w:rsidP="0083641B">
      <w:pPr>
        <w:spacing w:line="259" w:lineRule="auto"/>
        <w:jc w:val="left"/>
        <w:rPr>
          <w:b/>
          <w:color w:val="FF0000"/>
        </w:rPr>
      </w:pPr>
    </w:p>
    <w:p w14:paraId="41111E4D" w14:textId="2BB01D2C" w:rsidR="00CE01AD" w:rsidRPr="006D1A26" w:rsidRDefault="00CE01AD" w:rsidP="0083641B">
      <w:pPr>
        <w:spacing w:line="259" w:lineRule="auto"/>
        <w:jc w:val="left"/>
        <w:rPr>
          <w:bCs/>
          <w:i/>
          <w:iCs/>
        </w:rPr>
      </w:pPr>
      <w:r w:rsidRPr="006D1A26">
        <w:rPr>
          <w:bCs/>
          <w:i/>
          <w:iCs/>
        </w:rPr>
        <w:t>Fitzrovia West Neighbourhood Plan</w:t>
      </w:r>
    </w:p>
    <w:p w14:paraId="0A12FE98" w14:textId="77777777" w:rsidR="00CE01AD" w:rsidRPr="00CE01AD" w:rsidRDefault="00CE01AD" w:rsidP="0083641B">
      <w:pPr>
        <w:spacing w:line="259" w:lineRule="auto"/>
        <w:jc w:val="left"/>
        <w:rPr>
          <w:bCs/>
          <w:i/>
          <w:iCs/>
          <w:color w:val="FF0000"/>
        </w:rPr>
      </w:pPr>
    </w:p>
    <w:p w14:paraId="6E46A3A3" w14:textId="3ADC6D7E" w:rsidR="003E7816" w:rsidRDefault="002F1C07" w:rsidP="008B0C58">
      <w:pPr>
        <w:pStyle w:val="Default"/>
        <w:ind w:left="720" w:hanging="720"/>
        <w:rPr>
          <w:rFonts w:ascii="Verdana" w:hAnsi="Verdana"/>
          <w:color w:val="auto"/>
          <w:sz w:val="22"/>
          <w:szCs w:val="22"/>
        </w:rPr>
      </w:pPr>
      <w:r w:rsidRPr="00541343">
        <w:rPr>
          <w:rFonts w:ascii="Verdana" w:hAnsi="Verdana"/>
          <w:color w:val="auto"/>
          <w:sz w:val="22"/>
          <w:szCs w:val="22"/>
        </w:rPr>
        <w:t>1.1</w:t>
      </w:r>
      <w:r w:rsidR="002E7CC9">
        <w:rPr>
          <w:rFonts w:ascii="Verdana" w:hAnsi="Verdana"/>
          <w:color w:val="auto"/>
          <w:sz w:val="22"/>
          <w:szCs w:val="22"/>
        </w:rPr>
        <w:t xml:space="preserve"> </w:t>
      </w:r>
      <w:r w:rsidR="00015BA5">
        <w:rPr>
          <w:rFonts w:ascii="Verdana" w:hAnsi="Verdana"/>
          <w:color w:val="auto"/>
          <w:sz w:val="22"/>
          <w:szCs w:val="22"/>
        </w:rPr>
        <w:tab/>
      </w:r>
      <w:r w:rsidR="009F7ACD">
        <w:rPr>
          <w:rFonts w:ascii="Verdana" w:hAnsi="Verdana"/>
          <w:color w:val="auto"/>
          <w:sz w:val="22"/>
          <w:szCs w:val="22"/>
        </w:rPr>
        <w:t xml:space="preserve">Fitzrovia West, bounded by Oxford Street, Great Portland Street and Cleveland Street, is the part of Fitzrovia which lies within the City of Westminster.  Historically, attracting artists, writers, non-conformists, political activists and the avant-garde, the area </w:t>
      </w:r>
      <w:r w:rsidR="005F0446">
        <w:rPr>
          <w:rFonts w:ascii="Verdana" w:hAnsi="Verdana"/>
          <w:color w:val="auto"/>
          <w:sz w:val="22"/>
          <w:szCs w:val="22"/>
        </w:rPr>
        <w:t xml:space="preserve">developed </w:t>
      </w:r>
      <w:r w:rsidR="009F7ACD">
        <w:rPr>
          <w:rFonts w:ascii="Verdana" w:hAnsi="Verdana"/>
          <w:color w:val="auto"/>
          <w:sz w:val="22"/>
          <w:szCs w:val="22"/>
        </w:rPr>
        <w:t>a bohemian character.  I</w:t>
      </w:r>
      <w:r w:rsidR="005F0446">
        <w:rPr>
          <w:rFonts w:ascii="Verdana" w:hAnsi="Verdana"/>
          <w:color w:val="auto"/>
          <w:sz w:val="22"/>
          <w:szCs w:val="22"/>
        </w:rPr>
        <w:t>n the past, i</w:t>
      </w:r>
      <w:r w:rsidR="009F7ACD">
        <w:rPr>
          <w:rFonts w:ascii="Verdana" w:hAnsi="Verdana"/>
          <w:color w:val="auto"/>
          <w:sz w:val="22"/>
          <w:szCs w:val="22"/>
        </w:rPr>
        <w:t>ts diverse community and the availability of low-cost housing, workshops and commercial units were attractive features.</w:t>
      </w:r>
      <w:r w:rsidR="003F49FA">
        <w:rPr>
          <w:rFonts w:ascii="Verdana" w:hAnsi="Verdana"/>
          <w:color w:val="auto"/>
          <w:sz w:val="22"/>
          <w:szCs w:val="22"/>
        </w:rPr>
        <w:t xml:space="preserve">  The western section of the area was first developed by the Cavendish-Harley </w:t>
      </w:r>
      <w:r w:rsidR="00686108">
        <w:rPr>
          <w:rFonts w:ascii="Verdana" w:hAnsi="Verdana"/>
          <w:color w:val="auto"/>
          <w:sz w:val="22"/>
          <w:szCs w:val="22"/>
        </w:rPr>
        <w:t>e</w:t>
      </w:r>
      <w:r w:rsidR="003F49FA">
        <w:rPr>
          <w:rFonts w:ascii="Verdana" w:hAnsi="Verdana"/>
          <w:color w:val="auto"/>
          <w:sz w:val="22"/>
          <w:szCs w:val="22"/>
        </w:rPr>
        <w:t xml:space="preserve">state in the eighteenth century.  Over time, land ownership and usage were fragmented and the neighbourhood now has a rich and diverse architectural heritage.  Industries established in the past, such as furniture and clothing making, and car showrooms, have been replaced by companies associated with business services, the media, advertising, television and radio, architecture and engineering, design, IT and catering.  Corporate headquarters for Estee Lauder and Facebook, and </w:t>
      </w:r>
      <w:r w:rsidR="00446694">
        <w:rPr>
          <w:rFonts w:ascii="Verdana" w:hAnsi="Verdana"/>
          <w:color w:val="auto"/>
          <w:sz w:val="22"/>
          <w:szCs w:val="22"/>
        </w:rPr>
        <w:t xml:space="preserve">buildings of </w:t>
      </w:r>
      <w:r w:rsidR="003F49FA">
        <w:rPr>
          <w:rFonts w:ascii="Verdana" w:hAnsi="Verdana"/>
          <w:color w:val="auto"/>
          <w:sz w:val="22"/>
          <w:szCs w:val="22"/>
        </w:rPr>
        <w:t>the University of Westminster</w:t>
      </w:r>
      <w:r w:rsidR="005F0446">
        <w:rPr>
          <w:rFonts w:ascii="Verdana" w:hAnsi="Verdana"/>
          <w:color w:val="auto"/>
          <w:sz w:val="22"/>
          <w:szCs w:val="22"/>
        </w:rPr>
        <w:t>,</w:t>
      </w:r>
      <w:r w:rsidR="003F49FA">
        <w:rPr>
          <w:rFonts w:ascii="Verdana" w:hAnsi="Verdana"/>
          <w:color w:val="auto"/>
          <w:sz w:val="22"/>
          <w:szCs w:val="22"/>
        </w:rPr>
        <w:t xml:space="preserve"> </w:t>
      </w:r>
      <w:r w:rsidR="005F0446">
        <w:rPr>
          <w:rFonts w:ascii="Verdana" w:hAnsi="Verdana"/>
          <w:color w:val="auto"/>
          <w:sz w:val="22"/>
          <w:szCs w:val="22"/>
        </w:rPr>
        <w:t xml:space="preserve">are </w:t>
      </w:r>
      <w:r w:rsidR="009C2FF0">
        <w:rPr>
          <w:rFonts w:ascii="Verdana" w:hAnsi="Verdana"/>
          <w:color w:val="auto"/>
          <w:sz w:val="22"/>
          <w:szCs w:val="22"/>
        </w:rPr>
        <w:t xml:space="preserve">also </w:t>
      </w:r>
      <w:r w:rsidR="005F0446">
        <w:rPr>
          <w:rFonts w:ascii="Verdana" w:hAnsi="Verdana"/>
          <w:color w:val="auto"/>
          <w:sz w:val="22"/>
          <w:szCs w:val="22"/>
        </w:rPr>
        <w:t>present</w:t>
      </w:r>
      <w:r w:rsidR="003F49FA">
        <w:rPr>
          <w:rFonts w:ascii="Verdana" w:hAnsi="Verdana"/>
          <w:color w:val="auto"/>
          <w:sz w:val="22"/>
          <w:szCs w:val="22"/>
        </w:rPr>
        <w:t xml:space="preserve"> in Fitzrovia West. </w:t>
      </w:r>
    </w:p>
    <w:p w14:paraId="5DEA179D" w14:textId="42A682A7" w:rsidR="00304751" w:rsidRDefault="00304751" w:rsidP="00E04D78">
      <w:pPr>
        <w:pStyle w:val="Default"/>
        <w:ind w:left="720" w:hanging="720"/>
        <w:rPr>
          <w:rFonts w:ascii="Verdana" w:hAnsi="Verdana"/>
          <w:color w:val="auto"/>
          <w:sz w:val="22"/>
          <w:szCs w:val="22"/>
        </w:rPr>
      </w:pPr>
      <w:r>
        <w:rPr>
          <w:rFonts w:ascii="Verdana" w:hAnsi="Verdana"/>
          <w:color w:val="auto"/>
          <w:sz w:val="22"/>
          <w:szCs w:val="22"/>
        </w:rPr>
        <w:lastRenderedPageBreak/>
        <w:t xml:space="preserve">1.2 </w:t>
      </w:r>
      <w:r w:rsidR="00015BA5">
        <w:rPr>
          <w:rFonts w:ascii="Verdana" w:hAnsi="Verdana"/>
          <w:color w:val="auto"/>
          <w:sz w:val="22"/>
          <w:szCs w:val="22"/>
        </w:rPr>
        <w:tab/>
      </w:r>
      <w:r>
        <w:rPr>
          <w:rFonts w:ascii="Verdana" w:hAnsi="Verdana"/>
          <w:color w:val="auto"/>
          <w:sz w:val="22"/>
          <w:szCs w:val="22"/>
        </w:rPr>
        <w:t xml:space="preserve">The area has a distinctive character partly because of its location in the West End of London, and partly because of its architectural heritage with the grid layout of Georgian Streets, notably on the Cavendish-Harley estate.  Five </w:t>
      </w:r>
      <w:r w:rsidR="00D2097E">
        <w:rPr>
          <w:rFonts w:ascii="Verdana" w:hAnsi="Verdana"/>
          <w:color w:val="auto"/>
          <w:sz w:val="22"/>
          <w:szCs w:val="22"/>
        </w:rPr>
        <w:t>c</w:t>
      </w:r>
      <w:r>
        <w:rPr>
          <w:rFonts w:ascii="Verdana" w:hAnsi="Verdana"/>
          <w:color w:val="auto"/>
          <w:sz w:val="22"/>
          <w:szCs w:val="22"/>
        </w:rPr>
        <w:t xml:space="preserve">onservation </w:t>
      </w:r>
      <w:r w:rsidR="00D2097E">
        <w:rPr>
          <w:rFonts w:ascii="Verdana" w:hAnsi="Verdana"/>
          <w:color w:val="auto"/>
          <w:sz w:val="22"/>
          <w:szCs w:val="22"/>
        </w:rPr>
        <w:t>a</w:t>
      </w:r>
      <w:r>
        <w:rPr>
          <w:rFonts w:ascii="Verdana" w:hAnsi="Verdana"/>
          <w:color w:val="auto"/>
          <w:sz w:val="22"/>
          <w:szCs w:val="22"/>
        </w:rPr>
        <w:t xml:space="preserve">reas </w:t>
      </w:r>
      <w:r w:rsidR="00477D28">
        <w:rPr>
          <w:rFonts w:ascii="Verdana" w:hAnsi="Verdana"/>
          <w:color w:val="auto"/>
          <w:sz w:val="22"/>
          <w:szCs w:val="22"/>
        </w:rPr>
        <w:t>and more than 60 listed buildings demonstrate the high quality and character of the built environment in Fitzrovia West.  The population of the area is estimated at just under 4,000</w:t>
      </w:r>
      <w:r w:rsidR="005F0446">
        <w:rPr>
          <w:rFonts w:ascii="Verdana" w:hAnsi="Verdana"/>
          <w:color w:val="auto"/>
          <w:sz w:val="22"/>
          <w:szCs w:val="22"/>
        </w:rPr>
        <w:t>,</w:t>
      </w:r>
      <w:r w:rsidR="00477D28">
        <w:rPr>
          <w:rFonts w:ascii="Verdana" w:hAnsi="Verdana"/>
          <w:color w:val="auto"/>
          <w:sz w:val="22"/>
          <w:szCs w:val="22"/>
        </w:rPr>
        <w:t xml:space="preserve"> living in about 1,900 households.  House prices are described as “exceptionally high even by London standards”.  Car ownership is very low with only 27% of households owning a </w:t>
      </w:r>
      <w:r w:rsidR="00686108">
        <w:rPr>
          <w:rFonts w:ascii="Verdana" w:hAnsi="Verdana"/>
          <w:color w:val="auto"/>
          <w:sz w:val="22"/>
          <w:szCs w:val="22"/>
        </w:rPr>
        <w:t>motor vehicle</w:t>
      </w:r>
      <w:r w:rsidR="00477D28">
        <w:rPr>
          <w:rFonts w:ascii="Verdana" w:hAnsi="Verdana"/>
          <w:color w:val="auto"/>
          <w:sz w:val="22"/>
          <w:szCs w:val="22"/>
        </w:rPr>
        <w:t xml:space="preserve">, reflecting the high level of accessibility </w:t>
      </w:r>
      <w:r w:rsidR="009C2FF0">
        <w:rPr>
          <w:rFonts w:ascii="Verdana" w:hAnsi="Verdana"/>
          <w:color w:val="auto"/>
          <w:sz w:val="22"/>
          <w:szCs w:val="22"/>
        </w:rPr>
        <w:t xml:space="preserve">on foot and by public transport </w:t>
      </w:r>
      <w:r w:rsidR="00477D28">
        <w:rPr>
          <w:rFonts w:ascii="Verdana" w:hAnsi="Verdana"/>
          <w:color w:val="auto"/>
          <w:sz w:val="22"/>
          <w:szCs w:val="22"/>
        </w:rPr>
        <w:t xml:space="preserve">to jobs and services in the area.  Fitzrovia West is </w:t>
      </w:r>
      <w:r w:rsidR="00D73353">
        <w:rPr>
          <w:rFonts w:ascii="Verdana" w:hAnsi="Verdana"/>
          <w:color w:val="auto"/>
          <w:sz w:val="22"/>
          <w:szCs w:val="22"/>
        </w:rPr>
        <w:t xml:space="preserve">located </w:t>
      </w:r>
      <w:r w:rsidR="00477D28">
        <w:rPr>
          <w:rFonts w:ascii="Verdana" w:hAnsi="Verdana"/>
          <w:color w:val="auto"/>
          <w:sz w:val="22"/>
          <w:szCs w:val="22"/>
        </w:rPr>
        <w:t>within the London Central Activities Zone</w:t>
      </w:r>
      <w:r w:rsidR="009C2FF0">
        <w:rPr>
          <w:rFonts w:ascii="Verdana" w:hAnsi="Verdana"/>
          <w:color w:val="auto"/>
          <w:sz w:val="22"/>
          <w:szCs w:val="22"/>
        </w:rPr>
        <w:t xml:space="preserve"> (CAZ)</w:t>
      </w:r>
      <w:r w:rsidR="00477D28">
        <w:rPr>
          <w:rFonts w:ascii="Verdana" w:hAnsi="Verdana"/>
          <w:color w:val="auto"/>
          <w:sz w:val="22"/>
          <w:szCs w:val="22"/>
        </w:rPr>
        <w:t xml:space="preserve">, and </w:t>
      </w:r>
      <w:r w:rsidR="002B50CA">
        <w:rPr>
          <w:rFonts w:ascii="Verdana" w:hAnsi="Verdana"/>
          <w:color w:val="auto"/>
          <w:sz w:val="22"/>
          <w:szCs w:val="22"/>
        </w:rPr>
        <w:t xml:space="preserve">the </w:t>
      </w:r>
      <w:r w:rsidR="00A36075">
        <w:rPr>
          <w:rFonts w:ascii="Verdana" w:hAnsi="Verdana"/>
          <w:color w:val="auto"/>
          <w:sz w:val="22"/>
          <w:szCs w:val="22"/>
        </w:rPr>
        <w:t xml:space="preserve">southern </w:t>
      </w:r>
      <w:r w:rsidR="001C25CD" w:rsidRPr="001C25CD">
        <w:rPr>
          <w:rFonts w:ascii="Verdana" w:hAnsi="Verdana"/>
          <w:color w:val="auto"/>
          <w:sz w:val="22"/>
          <w:szCs w:val="22"/>
        </w:rPr>
        <w:t>portion of Fitzrovia West between Mortimer Street and Oxford Street</w:t>
      </w:r>
      <w:r w:rsidR="001C25CD">
        <w:rPr>
          <w:rFonts w:ascii="Verdana" w:hAnsi="Verdana"/>
          <w:color w:val="auto"/>
          <w:sz w:val="22"/>
          <w:szCs w:val="22"/>
        </w:rPr>
        <w:t xml:space="preserve"> </w:t>
      </w:r>
      <w:r w:rsidR="00A36075">
        <w:rPr>
          <w:rFonts w:ascii="Verdana" w:hAnsi="Verdana"/>
          <w:color w:val="auto"/>
          <w:sz w:val="22"/>
          <w:szCs w:val="22"/>
        </w:rPr>
        <w:t>forms part of the West End Retail and Leisure Special Policy Area.  The south-east corner of the F</w:t>
      </w:r>
      <w:r w:rsidR="00AF36D2">
        <w:rPr>
          <w:rFonts w:ascii="Verdana" w:hAnsi="Verdana"/>
          <w:color w:val="auto"/>
          <w:sz w:val="22"/>
          <w:szCs w:val="22"/>
        </w:rPr>
        <w:t xml:space="preserve">itzrovia </w:t>
      </w:r>
      <w:r w:rsidR="00A36075">
        <w:rPr>
          <w:rFonts w:ascii="Verdana" w:hAnsi="Verdana"/>
          <w:color w:val="auto"/>
          <w:sz w:val="22"/>
          <w:szCs w:val="22"/>
        </w:rPr>
        <w:t>W</w:t>
      </w:r>
      <w:r w:rsidR="00AF36D2">
        <w:rPr>
          <w:rFonts w:ascii="Verdana" w:hAnsi="Verdana"/>
          <w:color w:val="auto"/>
          <w:sz w:val="22"/>
          <w:szCs w:val="22"/>
        </w:rPr>
        <w:t xml:space="preserve">est </w:t>
      </w:r>
      <w:r w:rsidR="00A36075">
        <w:rPr>
          <w:rFonts w:ascii="Verdana" w:hAnsi="Verdana"/>
          <w:color w:val="auto"/>
          <w:sz w:val="22"/>
          <w:szCs w:val="22"/>
        </w:rPr>
        <w:t>N</w:t>
      </w:r>
      <w:r w:rsidR="00AF36D2">
        <w:rPr>
          <w:rFonts w:ascii="Verdana" w:hAnsi="Verdana"/>
          <w:color w:val="auto"/>
          <w:sz w:val="22"/>
          <w:szCs w:val="22"/>
        </w:rPr>
        <w:t xml:space="preserve">eighbourhood </w:t>
      </w:r>
      <w:r w:rsidR="00A36075">
        <w:rPr>
          <w:rFonts w:ascii="Verdana" w:hAnsi="Verdana"/>
          <w:color w:val="auto"/>
          <w:sz w:val="22"/>
          <w:szCs w:val="22"/>
        </w:rPr>
        <w:t>P</w:t>
      </w:r>
      <w:r w:rsidR="00AF36D2">
        <w:rPr>
          <w:rFonts w:ascii="Verdana" w:hAnsi="Verdana"/>
          <w:color w:val="auto"/>
          <w:sz w:val="22"/>
          <w:szCs w:val="22"/>
        </w:rPr>
        <w:t>lan</w:t>
      </w:r>
      <w:r w:rsidR="00A36075">
        <w:rPr>
          <w:rFonts w:ascii="Verdana" w:hAnsi="Verdana"/>
          <w:color w:val="auto"/>
          <w:sz w:val="22"/>
          <w:szCs w:val="22"/>
        </w:rPr>
        <w:t xml:space="preserve"> </w:t>
      </w:r>
      <w:r w:rsidR="00894B7E">
        <w:rPr>
          <w:rFonts w:ascii="Verdana" w:hAnsi="Verdana"/>
          <w:color w:val="auto"/>
          <w:sz w:val="22"/>
          <w:szCs w:val="22"/>
        </w:rPr>
        <w:t>A</w:t>
      </w:r>
      <w:r w:rsidR="00A36075">
        <w:rPr>
          <w:rFonts w:ascii="Verdana" w:hAnsi="Verdana"/>
          <w:color w:val="auto"/>
          <w:sz w:val="22"/>
          <w:szCs w:val="22"/>
        </w:rPr>
        <w:t>rea</w:t>
      </w:r>
      <w:r w:rsidR="006C63A4">
        <w:rPr>
          <w:rFonts w:ascii="Verdana" w:hAnsi="Verdana"/>
          <w:color w:val="auto"/>
          <w:sz w:val="22"/>
          <w:szCs w:val="22"/>
        </w:rPr>
        <w:t xml:space="preserve"> includes part of the designated Tottenham Court Road Opportunity Area</w:t>
      </w:r>
      <w:r w:rsidR="00010EC7">
        <w:rPr>
          <w:rFonts w:ascii="Verdana" w:hAnsi="Verdana"/>
          <w:color w:val="auto"/>
          <w:sz w:val="22"/>
          <w:szCs w:val="22"/>
        </w:rPr>
        <w:t>, as shown in Figure 3</w:t>
      </w:r>
      <w:r w:rsidR="006C63A4">
        <w:rPr>
          <w:rFonts w:ascii="Verdana" w:hAnsi="Verdana"/>
          <w:color w:val="auto"/>
          <w:sz w:val="22"/>
          <w:szCs w:val="22"/>
        </w:rPr>
        <w:t>.</w:t>
      </w:r>
      <w:r w:rsidR="00A36075">
        <w:rPr>
          <w:rFonts w:ascii="Verdana" w:hAnsi="Verdana"/>
          <w:color w:val="auto"/>
          <w:sz w:val="22"/>
          <w:szCs w:val="22"/>
        </w:rPr>
        <w:t xml:space="preserve">  Works on a new rail line, the </w:t>
      </w:r>
      <w:r w:rsidR="00D90C4C">
        <w:rPr>
          <w:rFonts w:ascii="Verdana" w:hAnsi="Verdana"/>
          <w:color w:val="auto"/>
          <w:sz w:val="22"/>
          <w:szCs w:val="22"/>
        </w:rPr>
        <w:t>Elizabeth Line</w:t>
      </w:r>
      <w:r w:rsidR="00A36075">
        <w:rPr>
          <w:rFonts w:ascii="Verdana" w:hAnsi="Verdana"/>
          <w:color w:val="auto"/>
          <w:sz w:val="22"/>
          <w:szCs w:val="22"/>
        </w:rPr>
        <w:t>, are underway along Oxford Street</w:t>
      </w:r>
      <w:r w:rsidR="006C63A4">
        <w:rPr>
          <w:rFonts w:ascii="Verdana" w:hAnsi="Verdana"/>
          <w:color w:val="auto"/>
          <w:sz w:val="22"/>
          <w:szCs w:val="22"/>
        </w:rPr>
        <w:t xml:space="preserve"> close to Tottenham Court Road</w:t>
      </w:r>
      <w:r w:rsidR="00D90C4C">
        <w:rPr>
          <w:rFonts w:ascii="Verdana" w:hAnsi="Verdana"/>
          <w:color w:val="auto"/>
          <w:sz w:val="22"/>
          <w:szCs w:val="22"/>
        </w:rPr>
        <w:t xml:space="preserve">. </w:t>
      </w:r>
      <w:r w:rsidR="00477D28">
        <w:rPr>
          <w:rFonts w:ascii="Verdana" w:hAnsi="Verdana"/>
          <w:color w:val="auto"/>
          <w:sz w:val="22"/>
          <w:szCs w:val="22"/>
        </w:rPr>
        <w:t xml:space="preserve">  </w:t>
      </w:r>
      <w:r w:rsidR="001B6EE6">
        <w:rPr>
          <w:rFonts w:ascii="Verdana" w:hAnsi="Verdana"/>
          <w:color w:val="auto"/>
          <w:sz w:val="22"/>
          <w:szCs w:val="22"/>
        </w:rPr>
        <w:t xml:space="preserve">  </w:t>
      </w:r>
    </w:p>
    <w:p w14:paraId="7898D92B" w14:textId="77777777" w:rsidR="001B6EE6" w:rsidRDefault="001B6EE6" w:rsidP="00214DB9">
      <w:pPr>
        <w:pStyle w:val="Default"/>
        <w:ind w:left="426" w:hanging="426"/>
        <w:rPr>
          <w:rFonts w:ascii="Verdana" w:hAnsi="Verdana"/>
          <w:color w:val="auto"/>
          <w:sz w:val="22"/>
          <w:szCs w:val="22"/>
        </w:rPr>
      </w:pPr>
    </w:p>
    <w:p w14:paraId="1AD03F7C" w14:textId="08EF11AB" w:rsidR="001B6EE6" w:rsidRDefault="001B6EE6" w:rsidP="00D91121">
      <w:pPr>
        <w:pStyle w:val="Default"/>
        <w:ind w:left="720" w:hanging="720"/>
        <w:rPr>
          <w:rFonts w:ascii="Verdana" w:hAnsi="Verdana"/>
          <w:color w:val="auto"/>
          <w:sz w:val="22"/>
          <w:szCs w:val="22"/>
        </w:rPr>
      </w:pPr>
      <w:r>
        <w:rPr>
          <w:rFonts w:ascii="Verdana" w:hAnsi="Verdana"/>
          <w:color w:val="auto"/>
          <w:sz w:val="22"/>
          <w:szCs w:val="22"/>
        </w:rPr>
        <w:t xml:space="preserve">1.3 </w:t>
      </w:r>
      <w:r w:rsidR="00015BA5">
        <w:rPr>
          <w:rFonts w:ascii="Verdana" w:hAnsi="Verdana"/>
          <w:color w:val="auto"/>
          <w:sz w:val="22"/>
          <w:szCs w:val="22"/>
        </w:rPr>
        <w:tab/>
      </w:r>
      <w:r w:rsidR="003433CD">
        <w:rPr>
          <w:rFonts w:ascii="Verdana" w:hAnsi="Verdana"/>
          <w:color w:val="auto"/>
          <w:sz w:val="22"/>
          <w:szCs w:val="22"/>
        </w:rPr>
        <w:t xml:space="preserve">Between January 2013 and February 2015, a number of residents and local businesses met regularly to discuss the potential for setting up a neighbourhood forum and preparing a neighbourhood plan.  </w:t>
      </w:r>
      <w:r>
        <w:rPr>
          <w:rFonts w:ascii="Verdana" w:hAnsi="Verdana"/>
          <w:color w:val="auto"/>
          <w:sz w:val="22"/>
          <w:szCs w:val="22"/>
        </w:rPr>
        <w:t>Fitzrovia West Neighbourhood Forum</w:t>
      </w:r>
      <w:r w:rsidR="003433CD">
        <w:rPr>
          <w:rFonts w:ascii="Verdana" w:hAnsi="Verdana"/>
          <w:color w:val="auto"/>
          <w:sz w:val="22"/>
          <w:szCs w:val="22"/>
        </w:rPr>
        <w:t xml:space="preserve"> was</w:t>
      </w:r>
      <w:r>
        <w:rPr>
          <w:rFonts w:ascii="Verdana" w:hAnsi="Verdana"/>
          <w:color w:val="auto"/>
          <w:sz w:val="22"/>
          <w:szCs w:val="22"/>
        </w:rPr>
        <w:t xml:space="preserve"> </w:t>
      </w:r>
      <w:r w:rsidR="003433CD">
        <w:rPr>
          <w:rFonts w:ascii="Verdana" w:hAnsi="Verdana"/>
          <w:color w:val="auto"/>
          <w:sz w:val="22"/>
          <w:szCs w:val="22"/>
        </w:rPr>
        <w:t xml:space="preserve">confirmed by </w:t>
      </w:r>
      <w:r w:rsidR="00AF36D2">
        <w:rPr>
          <w:rFonts w:ascii="Verdana" w:hAnsi="Verdana"/>
          <w:color w:val="auto"/>
          <w:sz w:val="22"/>
          <w:szCs w:val="22"/>
        </w:rPr>
        <w:t xml:space="preserve">Westminster </w:t>
      </w:r>
      <w:r w:rsidR="00294FC0">
        <w:rPr>
          <w:rFonts w:ascii="Verdana" w:hAnsi="Verdana"/>
          <w:color w:val="auto"/>
          <w:sz w:val="22"/>
          <w:szCs w:val="22"/>
        </w:rPr>
        <w:t xml:space="preserve">City </w:t>
      </w:r>
      <w:r w:rsidR="00AF36D2">
        <w:rPr>
          <w:rFonts w:ascii="Verdana" w:hAnsi="Verdana"/>
          <w:color w:val="auto"/>
          <w:sz w:val="22"/>
          <w:szCs w:val="22"/>
        </w:rPr>
        <w:t>Council (</w:t>
      </w:r>
      <w:r w:rsidR="003433CD">
        <w:rPr>
          <w:rFonts w:ascii="Verdana" w:hAnsi="Verdana"/>
          <w:color w:val="auto"/>
          <w:sz w:val="22"/>
          <w:szCs w:val="22"/>
        </w:rPr>
        <w:t>WCC</w:t>
      </w:r>
      <w:r w:rsidR="00AF36D2">
        <w:rPr>
          <w:rFonts w:ascii="Verdana" w:hAnsi="Verdana"/>
          <w:color w:val="auto"/>
          <w:sz w:val="22"/>
          <w:szCs w:val="22"/>
        </w:rPr>
        <w:t>)</w:t>
      </w:r>
      <w:r w:rsidR="003433CD">
        <w:rPr>
          <w:rFonts w:ascii="Verdana" w:hAnsi="Verdana"/>
          <w:color w:val="auto"/>
          <w:sz w:val="22"/>
          <w:szCs w:val="22"/>
        </w:rPr>
        <w:t xml:space="preserve"> as the qualifying body for the designated area of Fitzrovia West in February 2015</w:t>
      </w:r>
      <w:r w:rsidR="003D273F">
        <w:rPr>
          <w:rFonts w:ascii="Verdana" w:hAnsi="Verdana"/>
          <w:color w:val="auto"/>
          <w:sz w:val="22"/>
          <w:szCs w:val="22"/>
        </w:rPr>
        <w:t>, with membership of so</w:t>
      </w:r>
      <w:r w:rsidR="003433CD">
        <w:rPr>
          <w:rFonts w:ascii="Verdana" w:hAnsi="Verdana"/>
          <w:color w:val="auto"/>
          <w:sz w:val="22"/>
          <w:szCs w:val="22"/>
        </w:rPr>
        <w:t>me 200 businesses and residents.  It</w:t>
      </w:r>
      <w:r w:rsidR="003D273F">
        <w:rPr>
          <w:rFonts w:ascii="Verdana" w:hAnsi="Verdana"/>
          <w:color w:val="auto"/>
          <w:sz w:val="22"/>
          <w:szCs w:val="22"/>
        </w:rPr>
        <w:t xml:space="preserve"> includes an Executive Committee of 12 people</w:t>
      </w:r>
      <w:r w:rsidR="003F595F">
        <w:rPr>
          <w:rFonts w:ascii="Verdana" w:hAnsi="Verdana"/>
          <w:color w:val="auto"/>
          <w:sz w:val="22"/>
          <w:szCs w:val="22"/>
        </w:rPr>
        <w:t>,</w:t>
      </w:r>
      <w:r w:rsidR="003D273F">
        <w:rPr>
          <w:rFonts w:ascii="Verdana" w:hAnsi="Verdana"/>
          <w:color w:val="auto"/>
          <w:sz w:val="22"/>
          <w:szCs w:val="22"/>
        </w:rPr>
        <w:t xml:space="preserve"> at least 5 of whom work for businesses based at home or in the area.  Extensive consultation with residents and businesses has been carried out over the years through public meetings, exhibitions and social media to identify issues of local importance, to produce a Plan vision and objectives</w:t>
      </w:r>
      <w:r w:rsidR="003433CD">
        <w:rPr>
          <w:rFonts w:ascii="Verdana" w:hAnsi="Verdana"/>
          <w:color w:val="auto"/>
          <w:sz w:val="22"/>
          <w:szCs w:val="22"/>
        </w:rPr>
        <w:t>,</w:t>
      </w:r>
      <w:r w:rsidR="003D273F">
        <w:rPr>
          <w:rFonts w:ascii="Verdana" w:hAnsi="Verdana"/>
          <w:color w:val="auto"/>
          <w:sz w:val="22"/>
          <w:szCs w:val="22"/>
        </w:rPr>
        <w:t xml:space="preserve"> leading to the current </w:t>
      </w:r>
      <w:r w:rsidR="003433CD">
        <w:rPr>
          <w:rFonts w:ascii="Verdana" w:hAnsi="Verdana"/>
          <w:color w:val="auto"/>
          <w:sz w:val="22"/>
          <w:szCs w:val="22"/>
        </w:rPr>
        <w:t xml:space="preserve">submission </w:t>
      </w:r>
      <w:r w:rsidR="003D273F">
        <w:rPr>
          <w:rFonts w:ascii="Verdana" w:hAnsi="Verdana"/>
          <w:color w:val="auto"/>
          <w:sz w:val="22"/>
          <w:szCs w:val="22"/>
        </w:rPr>
        <w:t xml:space="preserve">Plan with </w:t>
      </w:r>
      <w:r w:rsidR="003F595F">
        <w:rPr>
          <w:rFonts w:ascii="Verdana" w:hAnsi="Verdana"/>
          <w:color w:val="auto"/>
          <w:sz w:val="22"/>
          <w:szCs w:val="22"/>
        </w:rPr>
        <w:t xml:space="preserve">its </w:t>
      </w:r>
      <w:r w:rsidR="003D273F">
        <w:rPr>
          <w:rFonts w:ascii="Verdana" w:hAnsi="Verdana"/>
          <w:color w:val="auto"/>
          <w:sz w:val="22"/>
          <w:szCs w:val="22"/>
        </w:rPr>
        <w:t xml:space="preserve">policies for the </w:t>
      </w:r>
      <w:r w:rsidR="003F595F">
        <w:rPr>
          <w:rFonts w:ascii="Verdana" w:hAnsi="Verdana"/>
          <w:color w:val="auto"/>
          <w:sz w:val="22"/>
          <w:szCs w:val="22"/>
        </w:rPr>
        <w:t xml:space="preserve">future of the </w:t>
      </w:r>
      <w:r w:rsidR="003D273F">
        <w:rPr>
          <w:rFonts w:ascii="Verdana" w:hAnsi="Verdana"/>
          <w:color w:val="auto"/>
          <w:sz w:val="22"/>
          <w:szCs w:val="22"/>
        </w:rPr>
        <w:t xml:space="preserve">neighbourhood.  </w:t>
      </w:r>
    </w:p>
    <w:p w14:paraId="67214620" w14:textId="77777777" w:rsidR="00955554" w:rsidRDefault="00955554">
      <w:pPr>
        <w:ind w:left="0" w:firstLine="0"/>
      </w:pPr>
    </w:p>
    <w:p w14:paraId="028C2BBF" w14:textId="77777777" w:rsidR="0083641B" w:rsidRDefault="003E0584" w:rsidP="008B0C58">
      <w:pPr>
        <w:jc w:val="left"/>
        <w:rPr>
          <w:i/>
        </w:rPr>
      </w:pPr>
      <w:r>
        <w:rPr>
          <w:i/>
        </w:rPr>
        <w:t>T</w:t>
      </w:r>
      <w:r w:rsidR="00955554" w:rsidRPr="00955554">
        <w:rPr>
          <w:i/>
        </w:rPr>
        <w:t>he Independent Examiner</w:t>
      </w:r>
    </w:p>
    <w:p w14:paraId="5676E400" w14:textId="77777777" w:rsidR="00955554" w:rsidRPr="00955554" w:rsidRDefault="00955554" w:rsidP="008B0C58">
      <w:pPr>
        <w:jc w:val="left"/>
        <w:rPr>
          <w:i/>
        </w:rPr>
      </w:pPr>
    </w:p>
    <w:p w14:paraId="2A15B4E3" w14:textId="0BC4DDC2" w:rsidR="00333B68" w:rsidRDefault="00955554" w:rsidP="008B0C58">
      <w:pPr>
        <w:ind w:left="720" w:hanging="720"/>
        <w:jc w:val="left"/>
      </w:pPr>
      <w:r w:rsidRPr="00333B68">
        <w:t>1.</w:t>
      </w:r>
      <w:r w:rsidR="003D273F">
        <w:t xml:space="preserve">4 </w:t>
      </w:r>
      <w:r w:rsidR="00015BA5">
        <w:tab/>
      </w:r>
      <w:r w:rsidR="00A73AD5">
        <w:t>As th</w:t>
      </w:r>
      <w:r w:rsidR="001365AC">
        <w:t xml:space="preserve">e </w:t>
      </w:r>
      <w:r w:rsidR="00E718D8">
        <w:t>P</w:t>
      </w:r>
      <w:r w:rsidR="00A73AD5">
        <w:t xml:space="preserve">lan has </w:t>
      </w:r>
      <w:r w:rsidR="00735E60">
        <w:t xml:space="preserve">now </w:t>
      </w:r>
      <w:r w:rsidR="00A73AD5">
        <w:t xml:space="preserve">reached the examination stage, </w:t>
      </w:r>
      <w:r w:rsidR="00B87641" w:rsidRPr="00333B68">
        <w:t xml:space="preserve">I have been appointed as </w:t>
      </w:r>
      <w:r w:rsidR="00333B68" w:rsidRPr="00333B68">
        <w:t>the</w:t>
      </w:r>
      <w:r w:rsidR="00B87641" w:rsidRPr="00333B68">
        <w:t xml:space="preserve"> examiner </w:t>
      </w:r>
      <w:r w:rsidR="00333B68" w:rsidRPr="00333B68">
        <w:t xml:space="preserve">of the </w:t>
      </w:r>
      <w:r w:rsidR="003D273F">
        <w:t>FWNP</w:t>
      </w:r>
      <w:r w:rsidR="00333B68" w:rsidRPr="00333B68">
        <w:t xml:space="preserve"> </w:t>
      </w:r>
      <w:r w:rsidR="00B87641" w:rsidRPr="00333B68">
        <w:t xml:space="preserve">by </w:t>
      </w:r>
      <w:r w:rsidR="001D17F9">
        <w:t>WCC</w:t>
      </w:r>
      <w:r w:rsidR="00333B68" w:rsidRPr="00333B68">
        <w:t>,</w:t>
      </w:r>
      <w:r w:rsidR="00B87641" w:rsidRPr="00333B68">
        <w:t xml:space="preserve"> with the agreement of the </w:t>
      </w:r>
      <w:r w:rsidR="002351A7">
        <w:t xml:space="preserve">Fitzrovia West </w:t>
      </w:r>
      <w:r w:rsidR="00D91121">
        <w:t>Neighbourhood</w:t>
      </w:r>
      <w:r w:rsidR="002351A7">
        <w:t xml:space="preserve"> Forum</w:t>
      </w:r>
      <w:r w:rsidR="00727C82">
        <w:t xml:space="preserve"> (FWNF)</w:t>
      </w:r>
      <w:r w:rsidR="00B87641" w:rsidRPr="00333B68">
        <w:t xml:space="preserve">.  </w:t>
      </w:r>
    </w:p>
    <w:p w14:paraId="1DC92DA0" w14:textId="77777777" w:rsidR="0083641B" w:rsidRPr="00333B68" w:rsidRDefault="0083641B" w:rsidP="008B0C58">
      <w:pPr>
        <w:jc w:val="left"/>
      </w:pPr>
    </w:p>
    <w:p w14:paraId="49E81FB4" w14:textId="52261892" w:rsidR="00955554" w:rsidRPr="00333B68" w:rsidRDefault="00333B68" w:rsidP="008B0C58">
      <w:pPr>
        <w:ind w:left="720" w:hanging="720"/>
        <w:jc w:val="left"/>
      </w:pPr>
      <w:r w:rsidRPr="00333B68">
        <w:t>1.</w:t>
      </w:r>
      <w:r w:rsidR="002351A7">
        <w:t>5</w:t>
      </w:r>
      <w:r w:rsidRPr="00333B68">
        <w:t xml:space="preserve"> </w:t>
      </w:r>
      <w:r w:rsidR="00015BA5">
        <w:tab/>
      </w:r>
      <w:r w:rsidR="00B87641" w:rsidRPr="00333B68">
        <w:t xml:space="preserve">I am </w:t>
      </w:r>
      <w:r w:rsidR="007C6A53">
        <w:t xml:space="preserve">a chartered town planner and former </w:t>
      </w:r>
      <w:r w:rsidR="00A108B2">
        <w:t xml:space="preserve">government </w:t>
      </w:r>
      <w:r w:rsidR="007C6A53" w:rsidRPr="00923093">
        <w:t>Planning Inspector</w:t>
      </w:r>
      <w:r w:rsidR="00F5450A">
        <w:t>,</w:t>
      </w:r>
      <w:r w:rsidR="002351A7">
        <w:t xml:space="preserve"> with prior experience examining neighbourhood plans</w:t>
      </w:r>
      <w:r w:rsidR="00B2297D">
        <w:t>.</w:t>
      </w:r>
      <w:r w:rsidR="002351A7">
        <w:t xml:space="preserve"> </w:t>
      </w:r>
      <w:r w:rsidR="00B2297D">
        <w:t xml:space="preserve"> </w:t>
      </w:r>
      <w:r w:rsidR="00B87641" w:rsidRPr="00333B68">
        <w:t xml:space="preserve">I am </w:t>
      </w:r>
      <w:r w:rsidR="007C6A53">
        <w:t xml:space="preserve">an </w:t>
      </w:r>
      <w:r w:rsidR="00B87641" w:rsidRPr="00333B68">
        <w:t xml:space="preserve">independent </w:t>
      </w:r>
      <w:r w:rsidR="007C6A53">
        <w:t xml:space="preserve">examiner, </w:t>
      </w:r>
      <w:r w:rsidRPr="00333B68">
        <w:t xml:space="preserve">and do not have an interest in any of the land that may be affected by the draft </w:t>
      </w:r>
      <w:r w:rsidR="0038720C">
        <w:t>P</w:t>
      </w:r>
      <w:r w:rsidRPr="00333B68">
        <w:t xml:space="preserve">lan. </w:t>
      </w:r>
    </w:p>
    <w:p w14:paraId="6915084A" w14:textId="77777777" w:rsidR="0083641B" w:rsidRDefault="0083641B" w:rsidP="008B0C58">
      <w:pPr>
        <w:jc w:val="left"/>
        <w:rPr>
          <w:i/>
        </w:rPr>
      </w:pPr>
    </w:p>
    <w:p w14:paraId="66EBFF28" w14:textId="77777777" w:rsidR="001E7466" w:rsidRDefault="003E0584" w:rsidP="008B0C58">
      <w:pPr>
        <w:jc w:val="left"/>
        <w:rPr>
          <w:i/>
        </w:rPr>
      </w:pPr>
      <w:r w:rsidRPr="00935330">
        <w:rPr>
          <w:i/>
        </w:rPr>
        <w:t>The Scope of the Examination</w:t>
      </w:r>
    </w:p>
    <w:p w14:paraId="06A8A08A" w14:textId="77777777" w:rsidR="0083641B" w:rsidRDefault="0083641B" w:rsidP="008B0C58">
      <w:pPr>
        <w:jc w:val="left"/>
        <w:rPr>
          <w:i/>
        </w:rPr>
      </w:pPr>
    </w:p>
    <w:p w14:paraId="0E237D0B" w14:textId="48A8B43C" w:rsidR="00B87641" w:rsidRDefault="00935330" w:rsidP="008B0C58">
      <w:pPr>
        <w:spacing w:after="160"/>
        <w:ind w:left="720" w:hanging="720"/>
        <w:jc w:val="left"/>
      </w:pPr>
      <w:r>
        <w:t>1.</w:t>
      </w:r>
      <w:r w:rsidR="002351A7">
        <w:t xml:space="preserve">6 </w:t>
      </w:r>
      <w:r w:rsidR="00015BA5">
        <w:tab/>
      </w:r>
      <w:r w:rsidR="00B87641">
        <w:t>As the independent examiner I am required to produce this report and recommend either:</w:t>
      </w:r>
    </w:p>
    <w:p w14:paraId="0280B73D" w14:textId="436926F8" w:rsidR="00B87641" w:rsidRDefault="00B87641" w:rsidP="008B0C58">
      <w:pPr>
        <w:spacing w:after="160"/>
        <w:ind w:left="720" w:firstLine="0"/>
        <w:jc w:val="left"/>
      </w:pPr>
      <w:r>
        <w:lastRenderedPageBreak/>
        <w:t>(a) that the neighbourhood plan is submitted to referendum</w:t>
      </w:r>
      <w:r w:rsidR="00467660">
        <w:t>s</w:t>
      </w:r>
      <w:r w:rsidR="006057DF">
        <w:rPr>
          <w:rStyle w:val="FootnoteReference"/>
        </w:rPr>
        <w:footnoteReference w:id="3"/>
      </w:r>
      <w:r>
        <w:t xml:space="preserve"> without changes; or</w:t>
      </w:r>
    </w:p>
    <w:p w14:paraId="1F024108" w14:textId="56858E28" w:rsidR="00B87641" w:rsidRDefault="00B87641" w:rsidP="008B0C58">
      <w:pPr>
        <w:spacing w:after="160"/>
        <w:ind w:left="720" w:firstLine="0"/>
        <w:jc w:val="left"/>
      </w:pPr>
      <w:r>
        <w:t>(b) that modifications are made and that the modified neighbourhood plan is submitted to referendum</w:t>
      </w:r>
      <w:r w:rsidR="00AD70E2">
        <w:t>s</w:t>
      </w:r>
      <w:r>
        <w:t>; or</w:t>
      </w:r>
    </w:p>
    <w:p w14:paraId="34858748" w14:textId="5CAB87D8" w:rsidR="00B87641" w:rsidRDefault="00B87641" w:rsidP="008B0C58">
      <w:pPr>
        <w:ind w:left="720" w:firstLine="0"/>
        <w:jc w:val="left"/>
      </w:pPr>
      <w:r>
        <w:t>(c) that the neighbourhood plan does not proceed to referendum</w:t>
      </w:r>
      <w:r w:rsidR="00AD70E2">
        <w:t>s</w:t>
      </w:r>
      <w:r>
        <w:t xml:space="preserve"> on the basis that it does not meet the necessary legal requirements. </w:t>
      </w:r>
    </w:p>
    <w:p w14:paraId="01A3A88E" w14:textId="77777777" w:rsidR="00935330" w:rsidRDefault="00935330" w:rsidP="008B0C58">
      <w:pPr>
        <w:jc w:val="left"/>
      </w:pPr>
    </w:p>
    <w:p w14:paraId="7E86096D" w14:textId="2B849291" w:rsidR="00935330" w:rsidRDefault="00B87641" w:rsidP="008B0C58">
      <w:pPr>
        <w:ind w:left="720" w:hanging="720"/>
        <w:jc w:val="left"/>
      </w:pPr>
      <w:r>
        <w:t>1.</w:t>
      </w:r>
      <w:r w:rsidR="002351A7">
        <w:t>7</w:t>
      </w:r>
      <w:r>
        <w:t xml:space="preserve"> </w:t>
      </w:r>
      <w:r w:rsidR="00015BA5">
        <w:tab/>
      </w:r>
      <w:r>
        <w:t xml:space="preserve">The </w:t>
      </w:r>
      <w:r w:rsidR="002B0246">
        <w:t xml:space="preserve">scope of the </w:t>
      </w:r>
      <w:r>
        <w:t>exa</w:t>
      </w:r>
      <w:r w:rsidR="00D83E1F">
        <w:t xml:space="preserve">mination </w:t>
      </w:r>
      <w:r w:rsidR="002B0246">
        <w:t xml:space="preserve">is set out in </w:t>
      </w:r>
      <w:r>
        <w:t>Paragra</w:t>
      </w:r>
      <w:r w:rsidR="00D83E1F">
        <w:t>ph</w:t>
      </w:r>
      <w:r>
        <w:t xml:space="preserve"> 8(1) of</w:t>
      </w:r>
      <w:r w:rsidR="00E82D45">
        <w:t xml:space="preserve"> Schedule 4B to</w:t>
      </w:r>
      <w:r>
        <w:t xml:space="preserve"> the Town and Country Planning Act 1990</w:t>
      </w:r>
      <w:r w:rsidR="001D32D9">
        <w:t xml:space="preserve"> (as amended)</w:t>
      </w:r>
      <w:r w:rsidR="0083641B">
        <w:t>(‘the 1990 Act’)</w:t>
      </w:r>
      <w:r w:rsidR="00D83E1F">
        <w:t xml:space="preserve">. </w:t>
      </w:r>
      <w:r w:rsidR="005F4B5D">
        <w:t>The examiner must consider</w:t>
      </w:r>
      <w:r w:rsidR="00D83E1F">
        <w:t xml:space="preserve">: </w:t>
      </w:r>
    </w:p>
    <w:p w14:paraId="7724A37D" w14:textId="77777777" w:rsidR="00917828" w:rsidRDefault="00917828" w:rsidP="008B0C58">
      <w:pPr>
        <w:jc w:val="left"/>
      </w:pPr>
    </w:p>
    <w:p w14:paraId="53A0F8C1" w14:textId="27D023E8" w:rsidR="007C2442" w:rsidRDefault="00E718D8" w:rsidP="008B0C58">
      <w:pPr>
        <w:pStyle w:val="ListParagraph"/>
        <w:numPr>
          <w:ilvl w:val="0"/>
          <w:numId w:val="8"/>
        </w:numPr>
        <w:spacing w:after="160"/>
        <w:ind w:left="1418" w:hanging="425"/>
        <w:jc w:val="left"/>
      </w:pPr>
      <w:r>
        <w:t xml:space="preserve">Whether the </w:t>
      </w:r>
      <w:r w:rsidR="00C20B9E">
        <w:t>p</w:t>
      </w:r>
      <w:r w:rsidR="007C2442">
        <w:t>lan meets the Basic Conditions</w:t>
      </w:r>
      <w:r w:rsidR="00A6713C">
        <w:t>.</w:t>
      </w:r>
    </w:p>
    <w:p w14:paraId="6173F82D" w14:textId="77777777" w:rsidR="007C2442" w:rsidRDefault="007C2442" w:rsidP="008B0C58">
      <w:pPr>
        <w:pStyle w:val="ListParagraph"/>
        <w:spacing w:after="160"/>
        <w:ind w:left="1418" w:firstLine="0"/>
        <w:jc w:val="left"/>
      </w:pPr>
    </w:p>
    <w:p w14:paraId="3904BE0D" w14:textId="3C4C41A2" w:rsidR="007C2442" w:rsidRDefault="007C2442" w:rsidP="008B0C58">
      <w:pPr>
        <w:pStyle w:val="ListParagraph"/>
        <w:numPr>
          <w:ilvl w:val="0"/>
          <w:numId w:val="8"/>
        </w:numPr>
        <w:spacing w:after="160"/>
        <w:ind w:left="1418" w:hanging="425"/>
        <w:jc w:val="left"/>
      </w:pPr>
      <w:r>
        <w:t xml:space="preserve">Whether the </w:t>
      </w:r>
      <w:r w:rsidR="00C20B9E">
        <w:t>p</w:t>
      </w:r>
      <w:r>
        <w:t>lan complies with provisions under s.38A and s.38B of the Planning and Compulsory Purchase Act 2004 (as amended)</w:t>
      </w:r>
      <w:r w:rsidR="00060C6F">
        <w:t xml:space="preserve"> (‘the 2004 Act’)</w:t>
      </w:r>
      <w:r>
        <w:t>. These are:</w:t>
      </w:r>
    </w:p>
    <w:p w14:paraId="05FBBB30" w14:textId="62406738" w:rsidR="007C2442" w:rsidRDefault="007C2442" w:rsidP="008B0C58">
      <w:pPr>
        <w:ind w:left="1843" w:hanging="425"/>
        <w:jc w:val="left"/>
      </w:pPr>
      <w:r>
        <w:t xml:space="preserve">- </w:t>
      </w:r>
      <w:r>
        <w:tab/>
        <w:t xml:space="preserve">it has been prepared and submitted for examination by a qualifying body, for an area that has been properly designated by the </w:t>
      </w:r>
      <w:r w:rsidR="0087061E">
        <w:t>l</w:t>
      </w:r>
      <w:r>
        <w:t xml:space="preserve">ocal </w:t>
      </w:r>
      <w:r w:rsidR="0087061E">
        <w:t>p</w:t>
      </w:r>
      <w:r>
        <w:t xml:space="preserve">lanning </w:t>
      </w:r>
      <w:r w:rsidR="0087061E">
        <w:t>a</w:t>
      </w:r>
      <w:r>
        <w:t>uthority;</w:t>
      </w:r>
    </w:p>
    <w:p w14:paraId="5BC4C894" w14:textId="77777777" w:rsidR="00114050" w:rsidRDefault="00114050" w:rsidP="008B0C58">
      <w:pPr>
        <w:ind w:left="1843" w:hanging="425"/>
        <w:jc w:val="left"/>
      </w:pPr>
    </w:p>
    <w:p w14:paraId="2548D856" w14:textId="2AFC9B51" w:rsidR="007C2442" w:rsidRDefault="007C2442" w:rsidP="008B0C58">
      <w:pPr>
        <w:ind w:left="1843" w:hanging="425"/>
        <w:jc w:val="left"/>
      </w:pPr>
      <w:r>
        <w:t>-</w:t>
      </w:r>
      <w:r>
        <w:tab/>
        <w:t xml:space="preserve">it sets out policies in relation to the development and use of land; </w:t>
      </w:r>
    </w:p>
    <w:p w14:paraId="37DF3E8E" w14:textId="77777777" w:rsidR="00114050" w:rsidRDefault="00114050" w:rsidP="008B0C58">
      <w:pPr>
        <w:ind w:left="1843" w:hanging="425"/>
        <w:jc w:val="left"/>
      </w:pPr>
    </w:p>
    <w:p w14:paraId="76A0220C" w14:textId="77777777" w:rsidR="007C2442" w:rsidRDefault="007C2442" w:rsidP="008B0C58">
      <w:pPr>
        <w:pStyle w:val="ListParagraph"/>
        <w:numPr>
          <w:ilvl w:val="0"/>
          <w:numId w:val="9"/>
        </w:numPr>
        <w:tabs>
          <w:tab w:val="left" w:pos="1843"/>
        </w:tabs>
        <w:spacing w:after="160"/>
        <w:ind w:hanging="720"/>
        <w:jc w:val="left"/>
      </w:pPr>
      <w:r>
        <w:t>it specifies the period during which it has effect;</w:t>
      </w:r>
    </w:p>
    <w:p w14:paraId="78471925" w14:textId="77777777" w:rsidR="007C2442" w:rsidRDefault="007C2442" w:rsidP="008B0C58">
      <w:pPr>
        <w:pStyle w:val="ListParagraph"/>
        <w:tabs>
          <w:tab w:val="left" w:pos="1755"/>
        </w:tabs>
        <w:spacing w:after="160"/>
        <w:ind w:left="2138" w:firstLine="0"/>
        <w:jc w:val="left"/>
      </w:pPr>
    </w:p>
    <w:p w14:paraId="5A9CAB22" w14:textId="4FB2FBCD" w:rsidR="007C2442" w:rsidRDefault="007C2442" w:rsidP="008B0C58">
      <w:pPr>
        <w:pStyle w:val="ListParagraph"/>
        <w:numPr>
          <w:ilvl w:val="0"/>
          <w:numId w:val="9"/>
        </w:numPr>
        <w:tabs>
          <w:tab w:val="left" w:pos="1843"/>
        </w:tabs>
        <w:spacing w:after="160"/>
        <w:ind w:left="1843" w:hanging="425"/>
        <w:jc w:val="left"/>
      </w:pPr>
      <w:r>
        <w:t xml:space="preserve">it does not include provisions and policies for ‘excluded development’; </w:t>
      </w:r>
      <w:r w:rsidR="00114050">
        <w:t>and</w:t>
      </w:r>
    </w:p>
    <w:p w14:paraId="475E1995" w14:textId="77777777" w:rsidR="007C2442" w:rsidRDefault="007C2442" w:rsidP="008B0C58">
      <w:pPr>
        <w:pStyle w:val="ListParagraph"/>
      </w:pPr>
    </w:p>
    <w:p w14:paraId="000847FE" w14:textId="6FED0F05" w:rsidR="007C2442" w:rsidRDefault="007C2442" w:rsidP="008B0C58">
      <w:pPr>
        <w:pStyle w:val="ListParagraph"/>
        <w:numPr>
          <w:ilvl w:val="0"/>
          <w:numId w:val="9"/>
        </w:numPr>
        <w:tabs>
          <w:tab w:val="left" w:pos="1843"/>
        </w:tabs>
        <w:ind w:left="1843" w:hanging="425"/>
        <w:jc w:val="left"/>
      </w:pPr>
      <w:r>
        <w:t xml:space="preserve">it is the only </w:t>
      </w:r>
      <w:r w:rsidR="00E718D8">
        <w:t>n</w:t>
      </w:r>
      <w:r>
        <w:t xml:space="preserve">eighbourhood </w:t>
      </w:r>
      <w:r w:rsidR="00E718D8">
        <w:t>p</w:t>
      </w:r>
      <w:r>
        <w:t>lan for the area and does not relate to land outside the designated neighbourhood area</w:t>
      </w:r>
      <w:r w:rsidR="00114050">
        <w:t>.</w:t>
      </w:r>
    </w:p>
    <w:p w14:paraId="6E863CAC" w14:textId="77777777" w:rsidR="00114050" w:rsidRDefault="00114050" w:rsidP="008B0C58">
      <w:pPr>
        <w:pStyle w:val="ListParagraph"/>
      </w:pPr>
    </w:p>
    <w:p w14:paraId="58BE8D19" w14:textId="0686D579" w:rsidR="007C2442" w:rsidRDefault="00114050" w:rsidP="008B0C58">
      <w:pPr>
        <w:pStyle w:val="ListParagraph"/>
        <w:numPr>
          <w:ilvl w:val="0"/>
          <w:numId w:val="16"/>
        </w:numPr>
        <w:spacing w:after="160"/>
        <w:ind w:left="1418" w:hanging="425"/>
        <w:jc w:val="left"/>
      </w:pPr>
      <w:r>
        <w:t>W</w:t>
      </w:r>
      <w:r w:rsidR="007C2442">
        <w:t>hether the referendum</w:t>
      </w:r>
      <w:r w:rsidR="0043114B">
        <w:t>s’</w:t>
      </w:r>
      <w:r w:rsidR="007C2442">
        <w:t xml:space="preserve"> boundary should be extended beyond t</w:t>
      </w:r>
      <w:r w:rsidR="00E718D8">
        <w:t xml:space="preserve">he designated area, should the </w:t>
      </w:r>
      <w:r w:rsidR="00995E4C">
        <w:t>p</w:t>
      </w:r>
      <w:r w:rsidR="007C2442">
        <w:t>lan proceed to referendum</w:t>
      </w:r>
      <w:r w:rsidR="00995E4C">
        <w:t>s</w:t>
      </w:r>
      <w:r>
        <w:t>.</w:t>
      </w:r>
      <w:r w:rsidR="007C2442">
        <w:t xml:space="preserve"> </w:t>
      </w:r>
    </w:p>
    <w:p w14:paraId="3EAA54B5" w14:textId="77777777" w:rsidR="00114050" w:rsidRDefault="00114050" w:rsidP="008B0C58">
      <w:pPr>
        <w:pStyle w:val="ListParagraph"/>
        <w:spacing w:after="160"/>
        <w:ind w:left="1418" w:firstLine="0"/>
        <w:jc w:val="left"/>
      </w:pPr>
    </w:p>
    <w:p w14:paraId="2137F045" w14:textId="77777777" w:rsidR="007C2442" w:rsidRDefault="007C2442" w:rsidP="008B0C58">
      <w:pPr>
        <w:pStyle w:val="ListParagraph"/>
        <w:numPr>
          <w:ilvl w:val="0"/>
          <w:numId w:val="2"/>
        </w:numPr>
        <w:tabs>
          <w:tab w:val="num" w:pos="1560"/>
        </w:tabs>
        <w:ind w:left="1418" w:hanging="425"/>
        <w:jc w:val="left"/>
      </w:pPr>
      <w:r>
        <w:t xml:space="preserve">Such matters as prescribed in the Neighbourhood Planning (General) Regulations 2012 </w:t>
      </w:r>
      <w:r w:rsidR="0087061E">
        <w:t>(as amended)</w:t>
      </w:r>
      <w:r>
        <w:t>(‘the 2012 Regulations’).</w:t>
      </w:r>
    </w:p>
    <w:p w14:paraId="7A0955AA" w14:textId="77777777" w:rsidR="007C2442" w:rsidRDefault="007C2442" w:rsidP="008B0C58">
      <w:pPr>
        <w:pStyle w:val="ListParagraph"/>
        <w:tabs>
          <w:tab w:val="num" w:pos="1560"/>
        </w:tabs>
        <w:ind w:left="1418" w:firstLine="0"/>
        <w:jc w:val="left"/>
      </w:pPr>
    </w:p>
    <w:p w14:paraId="5328495A" w14:textId="17F78C63" w:rsidR="001D32D9" w:rsidRPr="001D32D9" w:rsidRDefault="002B328A" w:rsidP="008B0C58">
      <w:pPr>
        <w:ind w:left="720" w:hanging="720"/>
        <w:jc w:val="left"/>
      </w:pPr>
      <w:r>
        <w:t>1.</w:t>
      </w:r>
      <w:r w:rsidR="002351A7">
        <w:t xml:space="preserve">8 </w:t>
      </w:r>
      <w:r w:rsidR="00015BA5">
        <w:tab/>
      </w:r>
      <w:r w:rsidR="001D32D9" w:rsidRPr="001D32D9">
        <w:t xml:space="preserve">I </w:t>
      </w:r>
      <w:r w:rsidR="00A003A7">
        <w:t xml:space="preserve">have </w:t>
      </w:r>
      <w:r w:rsidR="001D32D9" w:rsidRPr="001D32D9">
        <w:t>consider</w:t>
      </w:r>
      <w:r w:rsidR="00A003A7">
        <w:t>ed</w:t>
      </w:r>
      <w:r w:rsidR="002351A7">
        <w:t xml:space="preserve"> </w:t>
      </w:r>
      <w:r w:rsidR="007C6A53">
        <w:t>only</w:t>
      </w:r>
      <w:r w:rsidR="001D32D9" w:rsidRPr="001D32D9">
        <w:t xml:space="preserve"> matter</w:t>
      </w:r>
      <w:r w:rsidR="007C6A53">
        <w:t>s</w:t>
      </w:r>
      <w:r w:rsidR="001D32D9" w:rsidRPr="001D32D9">
        <w:t xml:space="preserve"> that fall within </w:t>
      </w:r>
      <w:r w:rsidR="007C2442">
        <w:t>P</w:t>
      </w:r>
      <w:r w:rsidR="001D32D9" w:rsidRPr="001D32D9">
        <w:t>aragraph 8(1)</w:t>
      </w:r>
      <w:r w:rsidR="00F5450A">
        <w:t xml:space="preserve">of Schedule 4B to the </w:t>
      </w:r>
      <w:r w:rsidR="0083641B">
        <w:t>1990 Act</w:t>
      </w:r>
      <w:r w:rsidR="007C6A53">
        <w:t xml:space="preserve">, with one </w:t>
      </w:r>
      <w:r w:rsidR="004F6D8C">
        <w:t>exception</w:t>
      </w:r>
      <w:r w:rsidR="007C6A53">
        <w:t>.  That is</w:t>
      </w:r>
      <w:r w:rsidR="001D32D9" w:rsidRPr="001D32D9">
        <w:t xml:space="preserve"> the requ</w:t>
      </w:r>
      <w:r w:rsidR="001D32D9">
        <w:t>irement that the P</w:t>
      </w:r>
      <w:r w:rsidR="001D32D9" w:rsidRPr="001D32D9">
        <w:t>lan is com</w:t>
      </w:r>
      <w:r w:rsidR="001D32D9">
        <w:t xml:space="preserve">patible </w:t>
      </w:r>
      <w:r w:rsidR="001D32D9" w:rsidRPr="001D32D9">
        <w:t>with the Human Rights</w:t>
      </w:r>
      <w:r w:rsidR="002351A7">
        <w:t xml:space="preserve"> </w:t>
      </w:r>
      <w:r w:rsidR="001D32D9" w:rsidRPr="001D32D9">
        <w:t>Conve</w:t>
      </w:r>
      <w:r w:rsidR="001D32D9">
        <w:t>ntion</w:t>
      </w:r>
      <w:r w:rsidR="001D32D9" w:rsidRPr="001D32D9">
        <w:t xml:space="preserve">. </w:t>
      </w:r>
    </w:p>
    <w:p w14:paraId="1C52CF12" w14:textId="77777777" w:rsidR="00733F2B" w:rsidRDefault="00733F2B" w:rsidP="008B0C58">
      <w:pPr>
        <w:jc w:val="left"/>
        <w:rPr>
          <w:i/>
        </w:rPr>
      </w:pPr>
    </w:p>
    <w:p w14:paraId="0A367967" w14:textId="77777777" w:rsidR="00733F2B" w:rsidRDefault="00733F2B" w:rsidP="008B0C58">
      <w:pPr>
        <w:jc w:val="left"/>
        <w:rPr>
          <w:i/>
        </w:rPr>
      </w:pPr>
    </w:p>
    <w:p w14:paraId="26DDA339" w14:textId="77777777" w:rsidR="00733F2B" w:rsidRDefault="00733F2B" w:rsidP="008B0C58">
      <w:pPr>
        <w:jc w:val="left"/>
        <w:rPr>
          <w:i/>
        </w:rPr>
      </w:pPr>
    </w:p>
    <w:p w14:paraId="5C9261B7" w14:textId="66DC2754" w:rsidR="002B0246" w:rsidRDefault="002B328A" w:rsidP="008B0C58">
      <w:pPr>
        <w:jc w:val="left"/>
      </w:pPr>
      <w:r>
        <w:rPr>
          <w:i/>
        </w:rPr>
        <w:lastRenderedPageBreak/>
        <w:t xml:space="preserve">The </w:t>
      </w:r>
      <w:r w:rsidR="002B0246" w:rsidRPr="00935330">
        <w:rPr>
          <w:i/>
        </w:rPr>
        <w:t>Basic Condition</w:t>
      </w:r>
      <w:r w:rsidR="002B0246">
        <w:t>s</w:t>
      </w:r>
    </w:p>
    <w:p w14:paraId="76BB92C0" w14:textId="77777777" w:rsidR="00917828" w:rsidRDefault="00917828" w:rsidP="008B0C58">
      <w:pPr>
        <w:jc w:val="left"/>
      </w:pPr>
    </w:p>
    <w:p w14:paraId="14F9D7D3" w14:textId="19DB6A20" w:rsidR="002B0246" w:rsidRDefault="002B328A" w:rsidP="008B0C58">
      <w:pPr>
        <w:spacing w:after="160"/>
        <w:ind w:left="720" w:hanging="720"/>
        <w:jc w:val="left"/>
      </w:pPr>
      <w:r>
        <w:t>1.</w:t>
      </w:r>
      <w:r w:rsidR="002351A7">
        <w:t>9</w:t>
      </w:r>
      <w:r>
        <w:t xml:space="preserve"> </w:t>
      </w:r>
      <w:r w:rsidR="00015BA5">
        <w:tab/>
      </w:r>
      <w:r>
        <w:t>The</w:t>
      </w:r>
      <w:r w:rsidR="002B0246">
        <w:t xml:space="preserve"> ‘Basic Conditions’</w:t>
      </w:r>
      <w:r w:rsidR="00413C57">
        <w:t xml:space="preserve"> are</w:t>
      </w:r>
      <w:r w:rsidR="002B0246">
        <w:t xml:space="preserve"> set out in </w:t>
      </w:r>
      <w:r w:rsidR="007C2442">
        <w:t>P</w:t>
      </w:r>
      <w:r w:rsidR="002B0246">
        <w:t>aragraph 8(2) of Schedule 4B to the 1990</w:t>
      </w:r>
      <w:r w:rsidR="000A5C35">
        <w:t xml:space="preserve"> </w:t>
      </w:r>
      <w:r w:rsidR="0083641B">
        <w:t>Act</w:t>
      </w:r>
      <w:r w:rsidR="002B0246">
        <w:t>.</w:t>
      </w:r>
      <w:r w:rsidR="002351A7">
        <w:t xml:space="preserve"> </w:t>
      </w:r>
      <w:r w:rsidR="002B0246">
        <w:t xml:space="preserve"> In order to meet the </w:t>
      </w:r>
      <w:r w:rsidR="00BB191A">
        <w:t>B</w:t>
      </w:r>
      <w:r w:rsidR="002B0246">
        <w:t xml:space="preserve">asic </w:t>
      </w:r>
      <w:r w:rsidR="00BB191A">
        <w:t>C</w:t>
      </w:r>
      <w:r w:rsidR="002B0246">
        <w:t>onditions, the neighbourhood plan must:</w:t>
      </w:r>
    </w:p>
    <w:p w14:paraId="4FD967BC" w14:textId="77777777" w:rsidR="007C2442" w:rsidRDefault="002B0246" w:rsidP="008B0C58">
      <w:pPr>
        <w:pStyle w:val="ListParagraph"/>
        <w:numPr>
          <w:ilvl w:val="0"/>
          <w:numId w:val="7"/>
        </w:numPr>
        <w:tabs>
          <w:tab w:val="left" w:pos="1276"/>
        </w:tabs>
        <w:spacing w:after="160"/>
        <w:jc w:val="left"/>
      </w:pPr>
      <w:r>
        <w:tab/>
      </w:r>
      <w:r w:rsidR="007C2442">
        <w:t>Have regard to national policies and advice contained in guidance issued by the Secretary of State;</w:t>
      </w:r>
    </w:p>
    <w:p w14:paraId="626D65F8" w14:textId="77777777" w:rsidR="007C2442" w:rsidRDefault="007C2442" w:rsidP="008B0C58">
      <w:pPr>
        <w:pStyle w:val="ListParagraph"/>
        <w:tabs>
          <w:tab w:val="left" w:pos="1276"/>
        </w:tabs>
        <w:spacing w:after="160"/>
        <w:ind w:left="1287" w:firstLine="0"/>
        <w:jc w:val="left"/>
      </w:pPr>
    </w:p>
    <w:p w14:paraId="19EDD0A9" w14:textId="77777777" w:rsidR="007C2442" w:rsidRDefault="007C2442" w:rsidP="008B0C58">
      <w:pPr>
        <w:pStyle w:val="ListParagraph"/>
        <w:numPr>
          <w:ilvl w:val="0"/>
          <w:numId w:val="7"/>
        </w:numPr>
        <w:tabs>
          <w:tab w:val="left" w:pos="993"/>
        </w:tabs>
        <w:spacing w:after="160"/>
        <w:jc w:val="left"/>
      </w:pPr>
      <w:r>
        <w:t>Contribute to the achievement of sustainable development;</w:t>
      </w:r>
    </w:p>
    <w:p w14:paraId="536A96A5" w14:textId="77777777" w:rsidR="007C2442" w:rsidRDefault="007C2442" w:rsidP="008B0C58">
      <w:pPr>
        <w:pStyle w:val="ListParagraph"/>
        <w:tabs>
          <w:tab w:val="left" w:pos="993"/>
        </w:tabs>
        <w:spacing w:after="160"/>
        <w:ind w:left="1287" w:firstLine="0"/>
        <w:jc w:val="left"/>
      </w:pPr>
    </w:p>
    <w:p w14:paraId="3B221B12" w14:textId="77777777" w:rsidR="007C2442" w:rsidRDefault="007C2442" w:rsidP="008B0C58">
      <w:pPr>
        <w:pStyle w:val="ListParagraph"/>
        <w:numPr>
          <w:ilvl w:val="0"/>
          <w:numId w:val="7"/>
        </w:numPr>
        <w:tabs>
          <w:tab w:val="left" w:pos="993"/>
        </w:tabs>
        <w:spacing w:after="160"/>
        <w:jc w:val="left"/>
      </w:pPr>
      <w:r>
        <w:t xml:space="preserve">Be in general conformity with the strategic policies of the development plan for the area; </w:t>
      </w:r>
    </w:p>
    <w:p w14:paraId="2675674B" w14:textId="77777777" w:rsidR="007C2442" w:rsidRDefault="007C2442" w:rsidP="008B0C58">
      <w:pPr>
        <w:pStyle w:val="ListParagraph"/>
        <w:tabs>
          <w:tab w:val="left" w:pos="993"/>
        </w:tabs>
        <w:spacing w:after="160"/>
        <w:ind w:left="1287" w:firstLine="0"/>
        <w:jc w:val="left"/>
      </w:pPr>
    </w:p>
    <w:p w14:paraId="0108755A" w14:textId="17B21709" w:rsidR="007C2442" w:rsidRDefault="007C2442" w:rsidP="008B0C58">
      <w:pPr>
        <w:pStyle w:val="ListParagraph"/>
        <w:numPr>
          <w:ilvl w:val="0"/>
          <w:numId w:val="7"/>
        </w:numPr>
        <w:tabs>
          <w:tab w:val="left" w:pos="993"/>
        </w:tabs>
        <w:spacing w:after="160"/>
        <w:jc w:val="left"/>
      </w:pPr>
      <w:r>
        <w:t>Be compatible with and not breach European Union (EU) obligations</w:t>
      </w:r>
      <w:r w:rsidR="00693A6A">
        <w:t xml:space="preserve"> (under retained EU law)</w:t>
      </w:r>
      <w:r w:rsidR="00F2289C">
        <w:rPr>
          <w:rStyle w:val="FootnoteReference"/>
        </w:rPr>
        <w:footnoteReference w:id="4"/>
      </w:r>
      <w:r>
        <w:t>; and</w:t>
      </w:r>
    </w:p>
    <w:p w14:paraId="3C8AADA6" w14:textId="77777777" w:rsidR="007C2442" w:rsidRDefault="007C2442" w:rsidP="008B0C58">
      <w:pPr>
        <w:pStyle w:val="ListParagraph"/>
        <w:tabs>
          <w:tab w:val="left" w:pos="993"/>
        </w:tabs>
        <w:spacing w:after="160"/>
        <w:ind w:left="1287" w:firstLine="0"/>
        <w:jc w:val="left"/>
      </w:pPr>
    </w:p>
    <w:p w14:paraId="2F349CBD" w14:textId="77777777" w:rsidR="007C2442" w:rsidRDefault="007C2442" w:rsidP="008B0C58">
      <w:pPr>
        <w:pStyle w:val="ListParagraph"/>
        <w:numPr>
          <w:ilvl w:val="0"/>
          <w:numId w:val="7"/>
        </w:numPr>
        <w:tabs>
          <w:tab w:val="left" w:pos="993"/>
        </w:tabs>
        <w:jc w:val="left"/>
      </w:pPr>
      <w:r>
        <w:t>Meet prescribed conditions and comply with prescribed matters.</w:t>
      </w:r>
    </w:p>
    <w:p w14:paraId="106DBF07" w14:textId="77777777" w:rsidR="007C2442" w:rsidRDefault="007C2442" w:rsidP="008B0C58">
      <w:pPr>
        <w:tabs>
          <w:tab w:val="left" w:pos="993"/>
        </w:tabs>
        <w:ind w:left="0" w:firstLine="0"/>
        <w:jc w:val="left"/>
      </w:pPr>
    </w:p>
    <w:p w14:paraId="5D462424" w14:textId="616005DD" w:rsidR="00C84481" w:rsidRDefault="002B0246" w:rsidP="008B0C58">
      <w:pPr>
        <w:tabs>
          <w:tab w:val="left" w:pos="426"/>
        </w:tabs>
        <w:ind w:left="720" w:hanging="720"/>
        <w:jc w:val="left"/>
      </w:pPr>
      <w:r w:rsidRPr="0088415F">
        <w:t>1.</w:t>
      </w:r>
      <w:r w:rsidR="002351A7">
        <w:t xml:space="preserve">10 </w:t>
      </w:r>
      <w:r w:rsidR="00015BA5">
        <w:tab/>
      </w:r>
      <w:r>
        <w:t xml:space="preserve">Regulation 32 of the </w:t>
      </w:r>
      <w:r w:rsidR="002B328A">
        <w:t xml:space="preserve">2012 </w:t>
      </w:r>
      <w:r>
        <w:t xml:space="preserve">Regulations </w:t>
      </w:r>
      <w:r w:rsidR="002B328A">
        <w:t>p</w:t>
      </w:r>
      <w:r>
        <w:t xml:space="preserve">rescribes a further </w:t>
      </w:r>
      <w:r w:rsidR="0083641B">
        <w:t>B</w:t>
      </w:r>
      <w:r>
        <w:t xml:space="preserve">asic </w:t>
      </w:r>
      <w:r w:rsidR="0083641B">
        <w:t>C</w:t>
      </w:r>
      <w:r>
        <w:t>ondition</w:t>
      </w:r>
      <w:r w:rsidR="00A108B2">
        <w:t xml:space="preserve"> for a neighbourhood plan</w:t>
      </w:r>
      <w:r>
        <w:t xml:space="preserve">. </w:t>
      </w:r>
      <w:r w:rsidR="002351A7">
        <w:t xml:space="preserve"> </w:t>
      </w:r>
      <w:r w:rsidR="00C84481">
        <w:t>This requires that the making of the neighbourhood development plan does not breach the requirements of Chapter 8 of Part 6 of the Conservation of Habitats and Species Regulations 2017</w:t>
      </w:r>
      <w:r w:rsidR="004250B3">
        <w:t>.</w:t>
      </w:r>
      <w:r w:rsidR="00C84481">
        <w:rPr>
          <w:rStyle w:val="FootnoteReference"/>
        </w:rPr>
        <w:footnoteReference w:id="5"/>
      </w:r>
      <w:r w:rsidR="00C84481">
        <w:t xml:space="preserve"> </w:t>
      </w:r>
    </w:p>
    <w:p w14:paraId="66E5668C" w14:textId="77777777" w:rsidR="002B0246" w:rsidRDefault="002B0246" w:rsidP="008B0C58">
      <w:pPr>
        <w:jc w:val="left"/>
      </w:pPr>
    </w:p>
    <w:p w14:paraId="099BF12A" w14:textId="77777777" w:rsidR="00917828" w:rsidRDefault="00917828" w:rsidP="008B0C58">
      <w:pPr>
        <w:jc w:val="left"/>
      </w:pPr>
    </w:p>
    <w:p w14:paraId="3E7F85BD" w14:textId="77777777" w:rsidR="00514D35" w:rsidRDefault="00763B54" w:rsidP="008B0C58">
      <w:pPr>
        <w:pStyle w:val="ListParagraph"/>
        <w:numPr>
          <w:ilvl w:val="2"/>
          <w:numId w:val="1"/>
        </w:numPr>
        <w:ind w:left="360"/>
        <w:jc w:val="left"/>
        <w:rPr>
          <w:b/>
        </w:rPr>
      </w:pPr>
      <w:r>
        <w:rPr>
          <w:b/>
        </w:rPr>
        <w:t xml:space="preserve">Approach to the </w:t>
      </w:r>
      <w:r w:rsidR="005C46B1">
        <w:rPr>
          <w:b/>
        </w:rPr>
        <w:t>Examination</w:t>
      </w:r>
    </w:p>
    <w:p w14:paraId="3D3A8751" w14:textId="77777777" w:rsidR="0083641B" w:rsidRPr="00514D35" w:rsidRDefault="0083641B" w:rsidP="008B0C58">
      <w:pPr>
        <w:pStyle w:val="ListParagraph"/>
        <w:ind w:left="360" w:firstLine="0"/>
        <w:jc w:val="left"/>
        <w:rPr>
          <w:b/>
        </w:rPr>
      </w:pPr>
    </w:p>
    <w:p w14:paraId="0965F83C" w14:textId="77777777" w:rsidR="00846A98" w:rsidRDefault="00846A98" w:rsidP="008B0C58">
      <w:pPr>
        <w:jc w:val="left"/>
        <w:rPr>
          <w:i/>
        </w:rPr>
      </w:pPr>
      <w:r w:rsidRPr="00514D35">
        <w:rPr>
          <w:i/>
        </w:rPr>
        <w:t>Planning Policy Context</w:t>
      </w:r>
    </w:p>
    <w:p w14:paraId="27F0C60D" w14:textId="77777777" w:rsidR="0083641B" w:rsidRPr="00514D35" w:rsidRDefault="0083641B" w:rsidP="008B0C58">
      <w:pPr>
        <w:jc w:val="left"/>
        <w:rPr>
          <w:i/>
        </w:rPr>
      </w:pPr>
    </w:p>
    <w:p w14:paraId="5AEAB9A9" w14:textId="7992281A" w:rsidR="00715051" w:rsidRDefault="009641FD" w:rsidP="008B0C58">
      <w:pPr>
        <w:ind w:left="720" w:hanging="720"/>
        <w:jc w:val="left"/>
      </w:pPr>
      <w:r>
        <w:t xml:space="preserve">2.1 </w:t>
      </w:r>
      <w:r w:rsidR="00015BA5">
        <w:tab/>
      </w:r>
      <w:r w:rsidR="00846A98">
        <w:t xml:space="preserve">The Development Plan for </w:t>
      </w:r>
      <w:r w:rsidR="004F6D8C">
        <w:t xml:space="preserve">this part of </w:t>
      </w:r>
      <w:r w:rsidR="002351A7">
        <w:t>the City of Westminster</w:t>
      </w:r>
      <w:r w:rsidR="00715051">
        <w:t xml:space="preserve">, not including documents relating to excluded minerals and waste development, is the London Plan, adopted in 2016, and the Westminster City Plan, adopted in 2016, with some saved policies from the Westminster Unitary Development Plan, 2007.  A new </w:t>
      </w:r>
      <w:r w:rsidR="001D7010">
        <w:t>d</w:t>
      </w:r>
      <w:r w:rsidR="00715051">
        <w:t xml:space="preserve">raft London Plan has been through examination in public, and the Mayor produced an Intend to Publish version in December 2019 as a framework for development over the next 20 years.  </w:t>
      </w:r>
      <w:r w:rsidR="00751727">
        <w:t xml:space="preserve">Following directions from the </w:t>
      </w:r>
      <w:bookmarkStart w:id="0" w:name="_Hlk64285824"/>
      <w:r w:rsidR="00751727">
        <w:t xml:space="preserve">Secretary of State </w:t>
      </w:r>
      <w:bookmarkEnd w:id="0"/>
      <w:r w:rsidR="00751727">
        <w:t>on 13 March 2020 and 10 December 2020, a modified</w:t>
      </w:r>
      <w:r w:rsidR="001D17F9">
        <w:t xml:space="preserve"> version</w:t>
      </w:r>
      <w:r w:rsidR="008B3CC2">
        <w:t xml:space="preserve"> titled </w:t>
      </w:r>
      <w:r w:rsidR="00BE19A7">
        <w:t>the ‘</w:t>
      </w:r>
      <w:r w:rsidR="005A64A7">
        <w:t>Publication London Plan</w:t>
      </w:r>
      <w:r w:rsidR="0007627C">
        <w:t xml:space="preserve"> (December 2020)</w:t>
      </w:r>
      <w:r w:rsidR="00F2289C">
        <w:t>’</w:t>
      </w:r>
      <w:r w:rsidR="005A64A7">
        <w:t xml:space="preserve"> </w:t>
      </w:r>
      <w:r w:rsidR="00751727">
        <w:t>was published by the Mayor on 21</w:t>
      </w:r>
      <w:r w:rsidR="00AF36D2">
        <w:rPr>
          <w:vertAlign w:val="superscript"/>
        </w:rPr>
        <w:t xml:space="preserve"> </w:t>
      </w:r>
      <w:r w:rsidR="00751727">
        <w:t xml:space="preserve">December 2020.  </w:t>
      </w:r>
      <w:r w:rsidR="001C25CD">
        <w:t xml:space="preserve">The </w:t>
      </w:r>
      <w:r w:rsidR="001C25CD" w:rsidRPr="001C25CD">
        <w:t xml:space="preserve">Secretary of State </w:t>
      </w:r>
      <w:r w:rsidR="001C25CD">
        <w:t xml:space="preserve">has </w:t>
      </w:r>
      <w:r w:rsidR="008D519D">
        <w:t xml:space="preserve">now </w:t>
      </w:r>
      <w:r w:rsidR="001C25CD">
        <w:t>confirmed that the Mayor can adopt the London Plan in his letter of 29 January 2021.</w:t>
      </w:r>
      <w:r w:rsidR="001C25CD">
        <w:rPr>
          <w:rStyle w:val="FootnoteReference"/>
        </w:rPr>
        <w:footnoteReference w:id="6"/>
      </w:r>
      <w:r w:rsidR="001C25CD">
        <w:t xml:space="preserve"> </w:t>
      </w:r>
      <w:r w:rsidR="008D519D">
        <w:t xml:space="preserve"> </w:t>
      </w:r>
      <w:r w:rsidR="00715051">
        <w:t xml:space="preserve">A new Westminster City Plan, 2019-2040, is currently </w:t>
      </w:r>
      <w:r w:rsidR="00715051">
        <w:lastRenderedPageBreak/>
        <w:t xml:space="preserve">undergoing examination, with hearing sessions </w:t>
      </w:r>
      <w:r w:rsidR="004250B3">
        <w:t xml:space="preserve">having </w:t>
      </w:r>
      <w:r w:rsidR="00715051">
        <w:t>tak</w:t>
      </w:r>
      <w:r w:rsidR="004250B3">
        <w:t>en</w:t>
      </w:r>
      <w:r w:rsidR="00715051">
        <w:t xml:space="preserve"> place in September and October 2020.  </w:t>
      </w:r>
      <w:r w:rsidR="008F0A51">
        <w:t>B</w:t>
      </w:r>
      <w:r w:rsidR="00715051">
        <w:t xml:space="preserve">oth the new </w:t>
      </w:r>
      <w:r w:rsidR="001D7010">
        <w:t>d</w:t>
      </w:r>
      <w:r w:rsidR="00715051">
        <w:t xml:space="preserve">raft London Plan and the new emerging Westminster City Plan have reached advanced stages in the process of preparation, </w:t>
      </w:r>
      <w:r w:rsidR="008F0A51">
        <w:t xml:space="preserve">and </w:t>
      </w:r>
      <w:r w:rsidR="00715051">
        <w:t xml:space="preserve">I have had regard </w:t>
      </w:r>
      <w:r w:rsidR="00674F41">
        <w:t xml:space="preserve">to the advice in the Planning Practice Guidance </w:t>
      </w:r>
      <w:r w:rsidR="00BB0D68">
        <w:t xml:space="preserve">(PPG) concerning the relationship between a neighbourhood plan and </w:t>
      </w:r>
      <w:r w:rsidR="00B30679">
        <w:t xml:space="preserve">an </w:t>
      </w:r>
      <w:r w:rsidR="00BB0D68">
        <w:t>emerging loca</w:t>
      </w:r>
      <w:r w:rsidR="00B30679">
        <w:t>l</w:t>
      </w:r>
      <w:r w:rsidR="00BB0D68">
        <w:t xml:space="preserve"> plan</w:t>
      </w:r>
      <w:r w:rsidR="008F0A51">
        <w:rPr>
          <w:rStyle w:val="FootnoteReference"/>
        </w:rPr>
        <w:footnoteReference w:id="7"/>
      </w:r>
      <w:r w:rsidR="00B30679">
        <w:t xml:space="preserve"> </w:t>
      </w:r>
      <w:r w:rsidR="00715051">
        <w:t>in examining the FWNP.</w:t>
      </w:r>
    </w:p>
    <w:p w14:paraId="79E17988" w14:textId="77777777" w:rsidR="00715051" w:rsidRPr="0088415F" w:rsidRDefault="00715051" w:rsidP="008B0C58">
      <w:pPr>
        <w:jc w:val="left"/>
      </w:pPr>
    </w:p>
    <w:p w14:paraId="5A00613F" w14:textId="0EE053C1" w:rsidR="009641FD" w:rsidRDefault="00715051" w:rsidP="008B0C58">
      <w:pPr>
        <w:ind w:left="720" w:hanging="720"/>
        <w:jc w:val="left"/>
      </w:pPr>
      <w:r>
        <w:t xml:space="preserve">2.2 </w:t>
      </w:r>
      <w:r w:rsidR="00015BA5">
        <w:tab/>
      </w:r>
      <w:r>
        <w:t xml:space="preserve">The planning policy for England is set out principally in the National Planning Policy Framework (NPPF). The Government’s PPG offers guidance on how national policy should be implemented. </w:t>
      </w:r>
      <w:r w:rsidRPr="000C5E15">
        <w:t>A revised NPPF was published on 19 February 2019, and all references in this report are to the February 2019 NPPF and its accompanying PPG</w:t>
      </w:r>
      <w:r w:rsidR="00ED729E">
        <w:t>.</w:t>
      </w:r>
    </w:p>
    <w:p w14:paraId="5B9F9E0E" w14:textId="77777777" w:rsidR="00715051" w:rsidRDefault="00715051" w:rsidP="008B0C58">
      <w:pPr>
        <w:rPr>
          <w:i/>
        </w:rPr>
      </w:pPr>
    </w:p>
    <w:p w14:paraId="157F55B5" w14:textId="77777777" w:rsidR="009641FD" w:rsidRPr="000813EF" w:rsidRDefault="009641FD" w:rsidP="008B0C58">
      <w:pPr>
        <w:rPr>
          <w:i/>
        </w:rPr>
      </w:pPr>
      <w:r w:rsidRPr="000813EF">
        <w:rPr>
          <w:i/>
        </w:rPr>
        <w:t>Submitted Documents</w:t>
      </w:r>
    </w:p>
    <w:p w14:paraId="5107B354" w14:textId="77777777" w:rsidR="009641FD" w:rsidRDefault="009641FD" w:rsidP="008B0C58"/>
    <w:p w14:paraId="2F778EA9" w14:textId="29F1AC22" w:rsidR="00333B68" w:rsidRPr="0064086C" w:rsidRDefault="00917828" w:rsidP="008B0C58">
      <w:pPr>
        <w:ind w:left="720" w:hanging="720"/>
        <w:jc w:val="left"/>
      </w:pPr>
      <w:r>
        <w:t>2.3</w:t>
      </w:r>
      <w:r w:rsidR="00715051">
        <w:t xml:space="preserve"> </w:t>
      </w:r>
      <w:r w:rsidR="00015BA5">
        <w:tab/>
      </w:r>
      <w:r w:rsidR="00333B68" w:rsidRPr="0064086C">
        <w:t xml:space="preserve">I have </w:t>
      </w:r>
      <w:r w:rsidR="00BF2FBC">
        <w:t>taken account of</w:t>
      </w:r>
      <w:r w:rsidR="00333B68" w:rsidRPr="0064086C">
        <w:t xml:space="preserve"> </w:t>
      </w:r>
      <w:r w:rsidR="0064086C" w:rsidRPr="0064086C">
        <w:t xml:space="preserve">all </w:t>
      </w:r>
      <w:r w:rsidR="009641FD">
        <w:t xml:space="preserve">policy, guidance and other </w:t>
      </w:r>
      <w:r w:rsidR="000813EF">
        <w:t xml:space="preserve">reference </w:t>
      </w:r>
      <w:r w:rsidR="0064086C" w:rsidRPr="0064086C">
        <w:t>documents I consider relevant to the examination</w:t>
      </w:r>
      <w:r w:rsidR="009641FD">
        <w:t>, including th</w:t>
      </w:r>
      <w:r w:rsidR="000813EF">
        <w:t xml:space="preserve">ose </w:t>
      </w:r>
      <w:r w:rsidR="009641FD">
        <w:t xml:space="preserve">submitted </w:t>
      </w:r>
      <w:r w:rsidR="000813EF">
        <w:t>which comprise</w:t>
      </w:r>
      <w:r w:rsidR="0064086C" w:rsidRPr="0064086C">
        <w:t xml:space="preserve">: </w:t>
      </w:r>
    </w:p>
    <w:p w14:paraId="18A8A783" w14:textId="2F15826A" w:rsidR="0064086C" w:rsidRPr="0064086C" w:rsidRDefault="00F5450A" w:rsidP="00E04D78">
      <w:pPr>
        <w:pStyle w:val="ListParagraph"/>
        <w:numPr>
          <w:ilvl w:val="0"/>
          <w:numId w:val="10"/>
        </w:numPr>
        <w:jc w:val="left"/>
      </w:pPr>
      <w:r>
        <w:t>the</w:t>
      </w:r>
      <w:r w:rsidR="0064086C" w:rsidRPr="0064086C">
        <w:t xml:space="preserve"> draft </w:t>
      </w:r>
      <w:r w:rsidR="00715051">
        <w:t xml:space="preserve">FWNP </w:t>
      </w:r>
      <w:r>
        <w:t>20</w:t>
      </w:r>
      <w:r w:rsidR="00715051">
        <w:t>20</w:t>
      </w:r>
      <w:r w:rsidR="00B2297D">
        <w:t xml:space="preserve"> </w:t>
      </w:r>
      <w:r w:rsidR="001D17F9">
        <w:t xml:space="preserve">to </w:t>
      </w:r>
      <w:r>
        <w:t>20</w:t>
      </w:r>
      <w:r w:rsidR="001D17F9">
        <w:t>35</w:t>
      </w:r>
      <w:r w:rsidR="00F70022">
        <w:rPr>
          <w:rStyle w:val="FootnoteReference"/>
        </w:rPr>
        <w:footnoteReference w:id="8"/>
      </w:r>
      <w:r>
        <w:t>,</w:t>
      </w:r>
      <w:r w:rsidR="00715051">
        <w:t xml:space="preserve"> April 2020</w:t>
      </w:r>
      <w:r w:rsidR="0064086C" w:rsidRPr="0064086C">
        <w:t>;</w:t>
      </w:r>
    </w:p>
    <w:p w14:paraId="192F1652" w14:textId="000D6486" w:rsidR="00333B68" w:rsidRPr="0064086C" w:rsidRDefault="00715051" w:rsidP="00E04D78">
      <w:pPr>
        <w:pStyle w:val="ListParagraph"/>
        <w:numPr>
          <w:ilvl w:val="0"/>
          <w:numId w:val="10"/>
        </w:numPr>
        <w:jc w:val="left"/>
      </w:pPr>
      <w:r>
        <w:t>Figure 1 on Page 6</w:t>
      </w:r>
      <w:r w:rsidR="00B2297D">
        <w:t xml:space="preserve"> </w:t>
      </w:r>
      <w:r w:rsidR="00E718D8">
        <w:t>of the P</w:t>
      </w:r>
      <w:r w:rsidR="00F5450A">
        <w:t>lan</w:t>
      </w:r>
      <w:r w:rsidR="00333B68" w:rsidRPr="0064086C">
        <w:t xml:space="preserve"> which identifies the area to which the proposed </w:t>
      </w:r>
      <w:r w:rsidR="005E0B51">
        <w:t>N</w:t>
      </w:r>
      <w:r w:rsidR="00333B68" w:rsidRPr="0064086C">
        <w:t xml:space="preserve">eighbourhood </w:t>
      </w:r>
      <w:r w:rsidR="005E0B51">
        <w:t>D</w:t>
      </w:r>
      <w:r w:rsidR="00333B68" w:rsidRPr="0064086C">
        <w:t xml:space="preserve">evelopment </w:t>
      </w:r>
      <w:r w:rsidR="005E0B51">
        <w:t>P</w:t>
      </w:r>
      <w:r w:rsidR="00333B68" w:rsidRPr="0064086C">
        <w:t>lan relates;</w:t>
      </w:r>
    </w:p>
    <w:p w14:paraId="3E781770" w14:textId="0F7AB274" w:rsidR="00333B68" w:rsidRPr="0064086C" w:rsidRDefault="0064086C" w:rsidP="00D91121">
      <w:pPr>
        <w:pStyle w:val="ListParagraph"/>
        <w:numPr>
          <w:ilvl w:val="0"/>
          <w:numId w:val="10"/>
        </w:numPr>
        <w:jc w:val="left"/>
      </w:pPr>
      <w:r w:rsidRPr="0064086C">
        <w:t xml:space="preserve">the </w:t>
      </w:r>
      <w:r w:rsidR="00F5450A">
        <w:t>C</w:t>
      </w:r>
      <w:r w:rsidR="00333B68" w:rsidRPr="0064086C">
        <w:t xml:space="preserve">onsultation </w:t>
      </w:r>
      <w:r w:rsidR="00F5450A">
        <w:t>S</w:t>
      </w:r>
      <w:r w:rsidR="00333B68" w:rsidRPr="0064086C">
        <w:t>tatement</w:t>
      </w:r>
      <w:r w:rsidR="00F5450A">
        <w:t xml:space="preserve">, </w:t>
      </w:r>
      <w:r w:rsidR="00160FE0">
        <w:t>May 2020</w:t>
      </w:r>
      <w:r w:rsidR="00333B68" w:rsidRPr="0064086C">
        <w:t>;</w:t>
      </w:r>
    </w:p>
    <w:p w14:paraId="202800C0" w14:textId="7862B162" w:rsidR="009F685C" w:rsidRPr="0064086C" w:rsidRDefault="0064086C">
      <w:pPr>
        <w:pStyle w:val="ListParagraph"/>
        <w:numPr>
          <w:ilvl w:val="0"/>
          <w:numId w:val="10"/>
        </w:numPr>
        <w:jc w:val="left"/>
      </w:pPr>
      <w:r w:rsidRPr="0064086C">
        <w:t xml:space="preserve">the </w:t>
      </w:r>
      <w:r w:rsidR="001945F9" w:rsidRPr="0064086C">
        <w:t>Basic Cond</w:t>
      </w:r>
      <w:r w:rsidR="001945F9">
        <w:t>i</w:t>
      </w:r>
      <w:r w:rsidR="001945F9" w:rsidRPr="0064086C">
        <w:t>tion</w:t>
      </w:r>
      <w:r w:rsidR="001945F9">
        <w:t>s</w:t>
      </w:r>
      <w:r w:rsidR="00160FE0">
        <w:t xml:space="preserve"> </w:t>
      </w:r>
      <w:r w:rsidR="001945F9">
        <w:t>S</w:t>
      </w:r>
      <w:r w:rsidR="00333B68" w:rsidRPr="0064086C">
        <w:t>tatement</w:t>
      </w:r>
      <w:r w:rsidR="000B1411">
        <w:t>,</w:t>
      </w:r>
      <w:r w:rsidR="00160FE0">
        <w:t xml:space="preserve"> </w:t>
      </w:r>
      <w:r w:rsidR="00BD12B0">
        <w:t xml:space="preserve">April </w:t>
      </w:r>
      <w:r w:rsidR="00160FE0">
        <w:t>2020</w:t>
      </w:r>
      <w:r w:rsidRPr="0064086C">
        <w:t xml:space="preserve">; </w:t>
      </w:r>
    </w:p>
    <w:p w14:paraId="39B19028" w14:textId="226FF6F8" w:rsidR="0064086C" w:rsidRDefault="0064086C">
      <w:pPr>
        <w:pStyle w:val="ListParagraph"/>
        <w:numPr>
          <w:ilvl w:val="0"/>
          <w:numId w:val="10"/>
        </w:numPr>
        <w:jc w:val="left"/>
      </w:pPr>
      <w:r w:rsidRPr="0064086C">
        <w:t>all the representations that have been made in accordance with the Regulation 16 consultation</w:t>
      </w:r>
      <w:r w:rsidR="001945F9">
        <w:t>;</w:t>
      </w:r>
    </w:p>
    <w:p w14:paraId="6BF4102B" w14:textId="5522E23D" w:rsidR="0064086C" w:rsidRDefault="0064086C">
      <w:pPr>
        <w:pStyle w:val="ListParagraph"/>
        <w:numPr>
          <w:ilvl w:val="0"/>
          <w:numId w:val="10"/>
        </w:numPr>
        <w:jc w:val="left"/>
      </w:pPr>
      <w:r w:rsidRPr="00160FE0">
        <w:t xml:space="preserve">the </w:t>
      </w:r>
      <w:r w:rsidR="001945F9" w:rsidRPr="00160FE0">
        <w:t>Strategic Environmental Assessment (</w:t>
      </w:r>
      <w:r w:rsidRPr="00160FE0">
        <w:t>SEA</w:t>
      </w:r>
      <w:r w:rsidR="001945F9" w:rsidRPr="00160FE0">
        <w:t>)</w:t>
      </w:r>
      <w:r w:rsidR="0083572D" w:rsidRPr="00160FE0">
        <w:t xml:space="preserve"> </w:t>
      </w:r>
      <w:r w:rsidRPr="00160FE0">
        <w:t xml:space="preserve">Screening </w:t>
      </w:r>
      <w:r w:rsidR="00160FE0">
        <w:t xml:space="preserve">Report and Habitats Regulations Assessment (HRA) Screening Report </w:t>
      </w:r>
      <w:r w:rsidR="001945F9" w:rsidRPr="00160FE0">
        <w:t>prepared by</w:t>
      </w:r>
      <w:r w:rsidR="00160FE0">
        <w:t xml:space="preserve"> </w:t>
      </w:r>
      <w:r w:rsidR="001D17F9">
        <w:t>WCC</w:t>
      </w:r>
      <w:r w:rsidR="00160FE0">
        <w:t>, January 2020</w:t>
      </w:r>
      <w:r w:rsidR="00727C82">
        <w:t>;</w:t>
      </w:r>
    </w:p>
    <w:p w14:paraId="364E1C6C" w14:textId="02F1C732" w:rsidR="00727C82" w:rsidRDefault="00727C82">
      <w:pPr>
        <w:pStyle w:val="ListParagraph"/>
        <w:numPr>
          <w:ilvl w:val="0"/>
          <w:numId w:val="10"/>
        </w:numPr>
        <w:jc w:val="left"/>
      </w:pPr>
      <w:r w:rsidRPr="00727C82">
        <w:t>the request for additional clarification sought in my letter of 1</w:t>
      </w:r>
      <w:r>
        <w:t>1</w:t>
      </w:r>
      <w:r w:rsidRPr="00727C82">
        <w:t xml:space="preserve"> </w:t>
      </w:r>
      <w:r>
        <w:t xml:space="preserve">September </w:t>
      </w:r>
      <w:r w:rsidRPr="00727C82">
        <w:t xml:space="preserve">2020 and the response dated </w:t>
      </w:r>
      <w:r>
        <w:t>25 September</w:t>
      </w:r>
      <w:r w:rsidRPr="00727C82">
        <w:t xml:space="preserve"> 2020 from </w:t>
      </w:r>
      <w:r>
        <w:t>FWNF; and</w:t>
      </w:r>
    </w:p>
    <w:p w14:paraId="388F9042" w14:textId="4EF9CA43" w:rsidR="00FE0B07" w:rsidRPr="00FE0B07" w:rsidRDefault="008D11E3">
      <w:pPr>
        <w:pStyle w:val="ListParagraph"/>
        <w:numPr>
          <w:ilvl w:val="0"/>
          <w:numId w:val="10"/>
        </w:numPr>
      </w:pPr>
      <w:r w:rsidRPr="008D11E3">
        <w:t xml:space="preserve">a Statement of Common Ground (SOCG) </w:t>
      </w:r>
      <w:r w:rsidR="00FE0B07" w:rsidRPr="00FE0B07">
        <w:t>between WCC and FWNF</w:t>
      </w:r>
      <w:r w:rsidR="00E04AB6">
        <w:t>,</w:t>
      </w:r>
    </w:p>
    <w:p w14:paraId="44B08AE8" w14:textId="43CDB21C" w:rsidR="00FE0B07" w:rsidRDefault="008D11E3" w:rsidP="008B0C58">
      <w:pPr>
        <w:pStyle w:val="ListParagraph"/>
        <w:ind w:left="1155" w:firstLine="0"/>
        <w:jc w:val="left"/>
      </w:pPr>
      <w:r>
        <w:t>produced in December 2020 in response to the request in my letter of 11 September 2020</w:t>
      </w:r>
      <w:r w:rsidR="00FE0B07">
        <w:t>.</w:t>
      </w:r>
      <w:r w:rsidR="00FE0B07">
        <w:rPr>
          <w:rStyle w:val="FootnoteReference"/>
        </w:rPr>
        <w:footnoteReference w:id="9"/>
      </w:r>
    </w:p>
    <w:p w14:paraId="0D1D1FF6" w14:textId="15ADB975" w:rsidR="00AD5038" w:rsidRPr="00FE0B07" w:rsidRDefault="008D11E3" w:rsidP="008B0C58">
      <w:pPr>
        <w:pStyle w:val="ListParagraph"/>
        <w:ind w:left="1155" w:firstLine="0"/>
        <w:jc w:val="left"/>
        <w:rPr>
          <w:i/>
        </w:rPr>
      </w:pPr>
      <w:r>
        <w:t xml:space="preserve"> </w:t>
      </w:r>
    </w:p>
    <w:p w14:paraId="315FC7DB" w14:textId="77777777" w:rsidR="00BF3DE2" w:rsidRDefault="00541343" w:rsidP="008B0C58">
      <w:pPr>
        <w:jc w:val="left"/>
        <w:rPr>
          <w:i/>
        </w:rPr>
      </w:pPr>
      <w:r>
        <w:rPr>
          <w:i/>
        </w:rPr>
        <w:t>Site Visit</w:t>
      </w:r>
    </w:p>
    <w:p w14:paraId="4282EBD5" w14:textId="77777777" w:rsidR="00917828" w:rsidRDefault="00917828" w:rsidP="008B0C58">
      <w:pPr>
        <w:jc w:val="left"/>
        <w:rPr>
          <w:i/>
        </w:rPr>
      </w:pPr>
    </w:p>
    <w:p w14:paraId="339E2AF6" w14:textId="37655A1C" w:rsidR="00BF3DE2" w:rsidRDefault="009641FD" w:rsidP="008B0C58">
      <w:pPr>
        <w:ind w:left="720" w:hanging="720"/>
        <w:jc w:val="left"/>
      </w:pPr>
      <w:r>
        <w:t>2.</w:t>
      </w:r>
      <w:r w:rsidR="00BF3DE2">
        <w:t xml:space="preserve">4 </w:t>
      </w:r>
      <w:r w:rsidR="00015BA5">
        <w:tab/>
      </w:r>
      <w:r w:rsidR="00BF3DE2">
        <w:t xml:space="preserve">I made an unaccompanied site visit to the </w:t>
      </w:r>
      <w:r w:rsidR="00160FE0">
        <w:t>FWNP</w:t>
      </w:r>
      <w:r w:rsidR="00BF3DE2">
        <w:t xml:space="preserve"> Area on </w:t>
      </w:r>
      <w:r w:rsidR="00160FE0">
        <w:t>22</w:t>
      </w:r>
      <w:r w:rsidR="00160FE0" w:rsidRPr="00160FE0">
        <w:rPr>
          <w:vertAlign w:val="superscript"/>
        </w:rPr>
        <w:t>nd</w:t>
      </w:r>
      <w:r w:rsidR="00160FE0">
        <w:t xml:space="preserve"> September 2020</w:t>
      </w:r>
      <w:r w:rsidR="00B2297D">
        <w:t xml:space="preserve"> </w:t>
      </w:r>
      <w:r w:rsidR="00BF3DE2">
        <w:t>to familiarise myself with it</w:t>
      </w:r>
      <w:r w:rsidR="001945F9">
        <w:t>,</w:t>
      </w:r>
      <w:r w:rsidR="00BF3DE2">
        <w:t xml:space="preserve"> and visit relevant sites an</w:t>
      </w:r>
      <w:r w:rsidR="001945F9">
        <w:t xml:space="preserve">d areas referenced in the </w:t>
      </w:r>
      <w:r w:rsidR="00E718D8">
        <w:t>P</w:t>
      </w:r>
      <w:r w:rsidR="001945F9">
        <w:t>lan and evidential documents.</w:t>
      </w:r>
    </w:p>
    <w:p w14:paraId="4D57824E" w14:textId="312EB6FD" w:rsidR="00882746" w:rsidRDefault="00882746" w:rsidP="008B0C58">
      <w:pPr>
        <w:jc w:val="left"/>
        <w:rPr>
          <w:i/>
        </w:rPr>
      </w:pPr>
    </w:p>
    <w:p w14:paraId="388E194E" w14:textId="77777777" w:rsidR="00DC4FB3" w:rsidRDefault="00DC4FB3" w:rsidP="008B0C58">
      <w:pPr>
        <w:jc w:val="left"/>
        <w:rPr>
          <w:i/>
        </w:rPr>
      </w:pPr>
    </w:p>
    <w:p w14:paraId="0FFBC1F4" w14:textId="77777777" w:rsidR="00DC4FB3" w:rsidRDefault="00DC4FB3" w:rsidP="008B0C58">
      <w:pPr>
        <w:jc w:val="left"/>
        <w:rPr>
          <w:i/>
        </w:rPr>
      </w:pPr>
    </w:p>
    <w:p w14:paraId="341CDA3F" w14:textId="77777777" w:rsidR="00DC4FB3" w:rsidRDefault="00DC4FB3" w:rsidP="008B0C58">
      <w:pPr>
        <w:jc w:val="left"/>
        <w:rPr>
          <w:i/>
        </w:rPr>
      </w:pPr>
    </w:p>
    <w:p w14:paraId="00458F02" w14:textId="484C59C6" w:rsidR="00BF3DE2" w:rsidRDefault="00BF3DE2" w:rsidP="008B0C58">
      <w:pPr>
        <w:jc w:val="left"/>
        <w:rPr>
          <w:i/>
        </w:rPr>
      </w:pPr>
      <w:r w:rsidRPr="00955554">
        <w:rPr>
          <w:i/>
        </w:rPr>
        <w:lastRenderedPageBreak/>
        <w:t xml:space="preserve">Written Representations </w:t>
      </w:r>
      <w:r w:rsidR="0087061E">
        <w:rPr>
          <w:i/>
        </w:rPr>
        <w:t xml:space="preserve">with or without </w:t>
      </w:r>
      <w:r w:rsidRPr="00955554">
        <w:rPr>
          <w:i/>
        </w:rPr>
        <w:t>Public Hearing</w:t>
      </w:r>
    </w:p>
    <w:p w14:paraId="078BE2F2" w14:textId="77777777" w:rsidR="00917828" w:rsidRPr="00955554" w:rsidRDefault="00917828" w:rsidP="008B0C58">
      <w:pPr>
        <w:jc w:val="left"/>
        <w:rPr>
          <w:i/>
        </w:rPr>
      </w:pPr>
    </w:p>
    <w:p w14:paraId="1C8E1FA1" w14:textId="7B3F9CDA" w:rsidR="00D5135A" w:rsidRPr="00C7286B" w:rsidRDefault="009641FD" w:rsidP="008B0C58">
      <w:pPr>
        <w:ind w:left="720" w:hanging="720"/>
        <w:jc w:val="left"/>
      </w:pPr>
      <w:r>
        <w:t>2.</w:t>
      </w:r>
      <w:r w:rsidR="00BF3DE2">
        <w:t xml:space="preserve">5 </w:t>
      </w:r>
      <w:r w:rsidR="00015BA5">
        <w:tab/>
      </w:r>
      <w:r w:rsidR="00D5135A">
        <w:t xml:space="preserve">This examination has been dealt with by </w:t>
      </w:r>
      <w:r w:rsidR="00D5135A" w:rsidRPr="00C7286B">
        <w:t xml:space="preserve">written representations. </w:t>
      </w:r>
      <w:r w:rsidR="00A0790C">
        <w:t xml:space="preserve"> I noted the willingness expressed by some respondents to the Regulation 16 consultation exercise to take part in </w:t>
      </w:r>
      <w:r w:rsidR="005E0B51">
        <w:t xml:space="preserve">relevant </w:t>
      </w:r>
      <w:r w:rsidR="00A0790C">
        <w:t xml:space="preserve">public hearings.  However, </w:t>
      </w:r>
      <w:r w:rsidR="00D5135A" w:rsidRPr="00C7286B">
        <w:t xml:space="preserve"> </w:t>
      </w:r>
    </w:p>
    <w:p w14:paraId="136030CF" w14:textId="5FD13A30" w:rsidR="00D5135A" w:rsidRPr="00C7286B" w:rsidRDefault="00D5135A" w:rsidP="008B0C58">
      <w:pPr>
        <w:ind w:left="720" w:firstLine="0"/>
        <w:jc w:val="left"/>
      </w:pPr>
      <w:r w:rsidRPr="00C7286B">
        <w:t xml:space="preserve">I considered hearing sessions to be unnecessary as the </w:t>
      </w:r>
      <w:r>
        <w:t xml:space="preserve">submitted documents, including the </w:t>
      </w:r>
      <w:r w:rsidRPr="00C7286B">
        <w:t xml:space="preserve">responses </w:t>
      </w:r>
      <w:r>
        <w:t xml:space="preserve">from the Regulation 16 </w:t>
      </w:r>
      <w:r w:rsidRPr="00C7286B">
        <w:t>consultation</w:t>
      </w:r>
      <w:r>
        <w:t xml:space="preserve"> exercise</w:t>
      </w:r>
      <w:r w:rsidR="00DF379F">
        <w:t xml:space="preserve"> and the SOCG</w:t>
      </w:r>
      <w:r>
        <w:t xml:space="preserve">, provided a clear picture of potential </w:t>
      </w:r>
      <w:r w:rsidRPr="00C7286B">
        <w:t xml:space="preserve">objections to the Plan, and </w:t>
      </w:r>
      <w:r>
        <w:t xml:space="preserve">guided my consideration of the </w:t>
      </w:r>
      <w:r w:rsidRPr="00C7286B">
        <w:t>arguments for and against the Plan’s suitability to proceed to referendum</w:t>
      </w:r>
      <w:r w:rsidR="00DF379F">
        <w:t>s</w:t>
      </w:r>
      <w:r w:rsidRPr="00C7286B">
        <w:t>.</w:t>
      </w:r>
    </w:p>
    <w:p w14:paraId="1561261D" w14:textId="77777777" w:rsidR="00BD25E6" w:rsidRDefault="00BD25E6" w:rsidP="008B0C58">
      <w:pPr>
        <w:jc w:val="left"/>
        <w:rPr>
          <w:i/>
        </w:rPr>
      </w:pPr>
    </w:p>
    <w:p w14:paraId="01A032D6" w14:textId="3CFEC891" w:rsidR="00BF3DE2" w:rsidRDefault="00BF3DE2" w:rsidP="008B0C58">
      <w:pPr>
        <w:jc w:val="left"/>
        <w:rPr>
          <w:i/>
        </w:rPr>
      </w:pPr>
      <w:r w:rsidRPr="002B0246">
        <w:rPr>
          <w:i/>
        </w:rPr>
        <w:t>Modifications</w:t>
      </w:r>
    </w:p>
    <w:p w14:paraId="79CAFFB3" w14:textId="77777777" w:rsidR="0083641B" w:rsidRPr="002B0246" w:rsidRDefault="0083641B" w:rsidP="008B0C58">
      <w:pPr>
        <w:jc w:val="left"/>
        <w:rPr>
          <w:i/>
        </w:rPr>
      </w:pPr>
    </w:p>
    <w:p w14:paraId="7BC06C90" w14:textId="3ED260A8" w:rsidR="00BF3DE2" w:rsidRDefault="009641FD" w:rsidP="008B0C58">
      <w:pPr>
        <w:ind w:left="720" w:hanging="720"/>
        <w:jc w:val="left"/>
      </w:pPr>
      <w:r>
        <w:t>2.</w:t>
      </w:r>
      <w:r w:rsidR="00BF3DE2">
        <w:t xml:space="preserve">6 </w:t>
      </w:r>
      <w:r w:rsidR="00015BA5">
        <w:tab/>
      </w:r>
      <w:r w:rsidR="00BF3DE2">
        <w:t xml:space="preserve">Where necessary, </w:t>
      </w:r>
      <w:r w:rsidR="00A42C8A" w:rsidRPr="00A42C8A">
        <w:t xml:space="preserve">I have recommended modifications to the </w:t>
      </w:r>
      <w:r w:rsidR="00E718D8">
        <w:t>P</w:t>
      </w:r>
      <w:r w:rsidR="00A42C8A" w:rsidRPr="00A42C8A">
        <w:t>lan (</w:t>
      </w:r>
      <w:r w:rsidR="00A42C8A" w:rsidRPr="00A42C8A">
        <w:rPr>
          <w:b/>
        </w:rPr>
        <w:t>PMs</w:t>
      </w:r>
      <w:r w:rsidR="00A42C8A" w:rsidRPr="00A42C8A">
        <w:t>) in this report in order that it meets the Basic Conditions and other legal requirements.  For ease of reference, I have listed these modifications separately in Appendix</w:t>
      </w:r>
      <w:r w:rsidR="00A82DB6">
        <w:t xml:space="preserve"> 1</w:t>
      </w:r>
      <w:r w:rsidR="00A42C8A" w:rsidRPr="00A42C8A">
        <w:t>.</w:t>
      </w:r>
      <w:r w:rsidR="009333F6">
        <w:t xml:space="preserve"> </w:t>
      </w:r>
      <w:r w:rsidR="00826874">
        <w:t>T</w:t>
      </w:r>
      <w:r w:rsidR="009333F6">
        <w:t xml:space="preserve">he PMs cross refer </w:t>
      </w:r>
      <w:r w:rsidR="00826874">
        <w:t xml:space="preserve">extensively </w:t>
      </w:r>
      <w:r w:rsidR="009333F6">
        <w:t>to the SOCG</w:t>
      </w:r>
      <w:r w:rsidR="00DC016F">
        <w:t xml:space="preserve"> bet</w:t>
      </w:r>
      <w:r w:rsidR="005845DB">
        <w:t xml:space="preserve">ween </w:t>
      </w:r>
      <w:r w:rsidR="00BD25E6">
        <w:t xml:space="preserve">WCC and the </w:t>
      </w:r>
      <w:r w:rsidR="005845DB">
        <w:t>F</w:t>
      </w:r>
      <w:r w:rsidR="00E04AB6">
        <w:t xml:space="preserve">WNF </w:t>
      </w:r>
      <w:r w:rsidR="005845DB">
        <w:t>(December 2020)</w:t>
      </w:r>
      <w:r w:rsidR="009333F6">
        <w:t>, which I have therefore attached as Appendix 2</w:t>
      </w:r>
      <w:r w:rsidR="00F0620C">
        <w:t xml:space="preserve"> to my report.</w:t>
      </w:r>
      <w:r w:rsidR="009333F6">
        <w:t xml:space="preserve"> </w:t>
      </w:r>
    </w:p>
    <w:p w14:paraId="2011C354" w14:textId="77777777" w:rsidR="00553604" w:rsidRDefault="00C37BA0" w:rsidP="008B0C58">
      <w:pPr>
        <w:jc w:val="left"/>
      </w:pPr>
      <w:r>
        <w:tab/>
      </w:r>
    </w:p>
    <w:p w14:paraId="647F4076" w14:textId="77777777" w:rsidR="0087061E" w:rsidRDefault="0087061E" w:rsidP="008B0C58">
      <w:pPr>
        <w:jc w:val="left"/>
        <w:rPr>
          <w:b/>
        </w:rPr>
      </w:pPr>
    </w:p>
    <w:p w14:paraId="00D8CBA2" w14:textId="77777777" w:rsidR="00846A98" w:rsidRPr="009C23F2" w:rsidRDefault="00846A98" w:rsidP="008B0C58">
      <w:pPr>
        <w:jc w:val="left"/>
        <w:rPr>
          <w:b/>
        </w:rPr>
      </w:pPr>
      <w:r w:rsidRPr="009C23F2">
        <w:rPr>
          <w:b/>
        </w:rPr>
        <w:t>3. Procedural Compliance</w:t>
      </w:r>
      <w:r w:rsidR="00204241">
        <w:rPr>
          <w:b/>
        </w:rPr>
        <w:t xml:space="preserve"> and Human Rights</w:t>
      </w:r>
    </w:p>
    <w:p w14:paraId="1808B463" w14:textId="77777777" w:rsidR="00C9510C" w:rsidRPr="009C23F2" w:rsidRDefault="00C9510C" w:rsidP="008B0C58">
      <w:pPr>
        <w:ind w:left="0" w:firstLine="0"/>
        <w:jc w:val="left"/>
        <w:rPr>
          <w:i/>
          <w:color w:val="808080" w:themeColor="background1" w:themeShade="80"/>
        </w:rPr>
      </w:pPr>
    </w:p>
    <w:p w14:paraId="20FCE5BA" w14:textId="77777777" w:rsidR="00A73AD5" w:rsidRDefault="00374830" w:rsidP="008B0C58">
      <w:pPr>
        <w:jc w:val="left"/>
        <w:rPr>
          <w:i/>
        </w:rPr>
      </w:pPr>
      <w:r w:rsidRPr="008B397B">
        <w:rPr>
          <w:i/>
        </w:rPr>
        <w:t>Qualifying Body and Neighbourhood Plan Area</w:t>
      </w:r>
    </w:p>
    <w:p w14:paraId="2105D28C" w14:textId="77777777" w:rsidR="0083641B" w:rsidRPr="008B397B" w:rsidRDefault="0083641B" w:rsidP="008B0C58">
      <w:pPr>
        <w:jc w:val="left"/>
        <w:rPr>
          <w:i/>
        </w:rPr>
      </w:pPr>
    </w:p>
    <w:p w14:paraId="776B0901" w14:textId="2CF9E2FF" w:rsidR="00374830" w:rsidRDefault="00A73AD5" w:rsidP="008B0C58">
      <w:pPr>
        <w:ind w:left="720" w:hanging="720"/>
        <w:jc w:val="left"/>
      </w:pPr>
      <w:r>
        <w:t xml:space="preserve">3.1 </w:t>
      </w:r>
      <w:r w:rsidR="00015BA5">
        <w:tab/>
      </w:r>
      <w:r w:rsidR="00C53C30" w:rsidRPr="008829AE">
        <w:t xml:space="preserve">The </w:t>
      </w:r>
      <w:r w:rsidR="003F595F" w:rsidRPr="008829AE">
        <w:t>FWNP</w:t>
      </w:r>
      <w:r w:rsidR="00C9510C" w:rsidRPr="008829AE">
        <w:t xml:space="preserve"> has been prepared and submitted for examination by </w:t>
      </w:r>
      <w:r w:rsidR="003F595F" w:rsidRPr="008829AE">
        <w:t>the Fitzrovia West Neighbourhood Forum</w:t>
      </w:r>
      <w:r w:rsidR="00EA2F3B" w:rsidRPr="008829AE">
        <w:t xml:space="preserve">. </w:t>
      </w:r>
      <w:r w:rsidR="00F43890">
        <w:t>W</w:t>
      </w:r>
      <w:r w:rsidR="002E590C">
        <w:t>C</w:t>
      </w:r>
      <w:r w:rsidR="00F43890">
        <w:t xml:space="preserve">C designated the </w:t>
      </w:r>
      <w:r w:rsidR="00C81434" w:rsidRPr="008829AE">
        <w:t xml:space="preserve"> </w:t>
      </w:r>
      <w:r w:rsidR="00F43890">
        <w:t>Neighbourhood Plan A</w:t>
      </w:r>
      <w:r w:rsidR="00C81434" w:rsidRPr="008829AE">
        <w:t xml:space="preserve">rea </w:t>
      </w:r>
      <w:r w:rsidR="003F595F" w:rsidRPr="008829AE">
        <w:t>on 28 March 2014</w:t>
      </w:r>
      <w:r w:rsidR="005061B2" w:rsidRPr="008829AE">
        <w:t xml:space="preserve"> and the </w:t>
      </w:r>
      <w:r w:rsidR="008829AE" w:rsidRPr="008829AE">
        <w:t>F</w:t>
      </w:r>
      <w:r w:rsidR="005061B2" w:rsidRPr="008829AE">
        <w:t xml:space="preserve">orum on </w:t>
      </w:r>
      <w:r w:rsidR="008829AE">
        <w:t>5</w:t>
      </w:r>
      <w:r w:rsidR="005061B2" w:rsidRPr="008829AE">
        <w:t xml:space="preserve"> February 2015</w:t>
      </w:r>
      <w:r w:rsidR="00321277">
        <w:t xml:space="preserve">.  </w:t>
      </w:r>
      <w:r w:rsidR="006863A0" w:rsidRPr="008829AE">
        <w:t>On 11 November 2019, an application was made to</w:t>
      </w:r>
      <w:r w:rsidR="005F0446" w:rsidRPr="008829AE">
        <w:t xml:space="preserve"> </w:t>
      </w:r>
      <w:r w:rsidR="006863A0" w:rsidRPr="008829AE">
        <w:t>WCC in order to extend the designation of the Forum for a further five years.  The renewal of designation was confirmed on 20 February 2020.</w:t>
      </w:r>
    </w:p>
    <w:p w14:paraId="60456023" w14:textId="77777777" w:rsidR="0083641B" w:rsidRDefault="0083641B" w:rsidP="008B0C58">
      <w:pPr>
        <w:jc w:val="left"/>
      </w:pPr>
    </w:p>
    <w:p w14:paraId="60860F2E" w14:textId="796F1439" w:rsidR="000577D8" w:rsidRDefault="00374830" w:rsidP="008B0C58">
      <w:pPr>
        <w:ind w:left="720" w:hanging="720"/>
        <w:jc w:val="left"/>
      </w:pPr>
      <w:r>
        <w:t xml:space="preserve">3.2 </w:t>
      </w:r>
      <w:r w:rsidR="00015BA5">
        <w:tab/>
      </w:r>
      <w:r w:rsidRPr="00A04A57">
        <w:t xml:space="preserve">It is the only </w:t>
      </w:r>
      <w:r w:rsidR="002F7E1C">
        <w:t>N</w:t>
      </w:r>
      <w:r w:rsidRPr="00A04A57">
        <w:t xml:space="preserve">eighbourhood </w:t>
      </w:r>
      <w:r w:rsidR="002F7E1C">
        <w:t>P</w:t>
      </w:r>
      <w:r w:rsidRPr="00A04A57">
        <w:t xml:space="preserve">lan for </w:t>
      </w:r>
      <w:r w:rsidR="003F595F">
        <w:t>Fitzrovia West</w:t>
      </w:r>
      <w:r w:rsidR="00FE0B07">
        <w:t xml:space="preserve"> </w:t>
      </w:r>
      <w:r w:rsidRPr="00A04A57">
        <w:t xml:space="preserve">and does not relate to land outside the designated </w:t>
      </w:r>
      <w:r w:rsidR="002F7E1C">
        <w:t>N</w:t>
      </w:r>
      <w:r w:rsidRPr="00A04A57">
        <w:t xml:space="preserve">eighbourhood </w:t>
      </w:r>
      <w:r w:rsidR="002F7E1C">
        <w:t>P</w:t>
      </w:r>
      <w:r w:rsidR="00590331">
        <w:t xml:space="preserve">lan </w:t>
      </w:r>
      <w:r w:rsidR="002F7E1C">
        <w:t>A</w:t>
      </w:r>
      <w:r w:rsidRPr="00A04A57">
        <w:t>rea.</w:t>
      </w:r>
    </w:p>
    <w:p w14:paraId="12014A34" w14:textId="77777777" w:rsidR="000577D8" w:rsidRDefault="000577D8" w:rsidP="008B0C58">
      <w:pPr>
        <w:jc w:val="left"/>
      </w:pPr>
    </w:p>
    <w:p w14:paraId="56887558" w14:textId="77777777" w:rsidR="00735E60" w:rsidRDefault="00735E60" w:rsidP="008B0C58">
      <w:pPr>
        <w:jc w:val="left"/>
        <w:rPr>
          <w:i/>
        </w:rPr>
      </w:pPr>
      <w:r w:rsidRPr="008B397B">
        <w:rPr>
          <w:i/>
        </w:rPr>
        <w:t xml:space="preserve">Plan Period </w:t>
      </w:r>
    </w:p>
    <w:p w14:paraId="4C0AA39C" w14:textId="77777777" w:rsidR="0083641B" w:rsidRPr="008B397B" w:rsidRDefault="0083641B" w:rsidP="008B0C58">
      <w:pPr>
        <w:jc w:val="left"/>
        <w:rPr>
          <w:i/>
        </w:rPr>
      </w:pPr>
    </w:p>
    <w:p w14:paraId="4F336E10" w14:textId="2E6EE971" w:rsidR="000D7758" w:rsidRDefault="00735E60" w:rsidP="008B0C58">
      <w:pPr>
        <w:ind w:left="720" w:hanging="720"/>
        <w:jc w:val="left"/>
      </w:pPr>
      <w:r>
        <w:t xml:space="preserve">3.3 </w:t>
      </w:r>
      <w:r w:rsidR="00015BA5">
        <w:tab/>
      </w:r>
      <w:r>
        <w:t xml:space="preserve">The </w:t>
      </w:r>
      <w:r w:rsidR="00E718D8">
        <w:t>P</w:t>
      </w:r>
      <w:r>
        <w:t xml:space="preserve">lan </w:t>
      </w:r>
      <w:r w:rsidR="003F595F">
        <w:t xml:space="preserve">as submitted does not </w:t>
      </w:r>
      <w:r>
        <w:t>specif</w:t>
      </w:r>
      <w:r w:rsidR="003F595F">
        <w:t>y</w:t>
      </w:r>
      <w:r>
        <w:t xml:space="preserve"> clearly the perio</w:t>
      </w:r>
      <w:r w:rsidR="003F595F">
        <w:t>d to which it is to take effect.  The fron</w:t>
      </w:r>
      <w:r w:rsidR="0034018A">
        <w:t>t</w:t>
      </w:r>
      <w:r w:rsidR="003F595F">
        <w:t xml:space="preserve"> cover </w:t>
      </w:r>
      <w:r w:rsidR="0034018A">
        <w:t>of the Plan and paragraph 1.</w:t>
      </w:r>
      <w:r w:rsidR="00A45F26">
        <w:t xml:space="preserve">2 </w:t>
      </w:r>
      <w:r w:rsidR="003F595F">
        <w:t>give a time period of 2020 to 2035, whereas Appendix 3 refers to 2020 to 2040</w:t>
      </w:r>
      <w:r>
        <w:t>.</w:t>
      </w:r>
      <w:r w:rsidR="003F595F">
        <w:t xml:space="preserve">  In response to my letter to the Forum, </w:t>
      </w:r>
      <w:r w:rsidR="00BF2FBC">
        <w:t>in</w:t>
      </w:r>
      <w:r w:rsidR="0034018A">
        <w:t xml:space="preserve"> September 2020</w:t>
      </w:r>
      <w:r w:rsidR="003F595F">
        <w:t xml:space="preserve">, </w:t>
      </w:r>
      <w:r w:rsidR="005F0446">
        <w:t>it was confirme</w:t>
      </w:r>
      <w:r w:rsidR="0034018A">
        <w:t xml:space="preserve">d that the Plan should cover the 20 year time period from 2020 to 2040.  Proposed modification </w:t>
      </w:r>
      <w:r w:rsidR="0034018A">
        <w:rPr>
          <w:b/>
        </w:rPr>
        <w:t xml:space="preserve">PM1 </w:t>
      </w:r>
      <w:r w:rsidR="0034018A">
        <w:t>should be made</w:t>
      </w:r>
      <w:r w:rsidR="005F0446">
        <w:t>,</w:t>
      </w:r>
      <w:r w:rsidR="0034018A">
        <w:t xml:space="preserve"> so that the front cover </w:t>
      </w:r>
      <w:r w:rsidR="00A45F26">
        <w:t xml:space="preserve">and paragraph 1.2 </w:t>
      </w:r>
      <w:r w:rsidR="0034018A">
        <w:t>make this clear, and so that the Plan</w:t>
      </w:r>
      <w:r w:rsidR="005F0446">
        <w:t xml:space="preserve"> meets the procedural requirements for neighbourhood planning</w:t>
      </w:r>
      <w:r w:rsidR="0034018A">
        <w:t xml:space="preserve">. </w:t>
      </w:r>
      <w:r>
        <w:t xml:space="preserve"> </w:t>
      </w:r>
    </w:p>
    <w:p w14:paraId="03124637" w14:textId="77777777" w:rsidR="00AE0094" w:rsidRPr="00AE0094" w:rsidRDefault="00AE0094" w:rsidP="008B0C58">
      <w:pPr>
        <w:ind w:left="426" w:hanging="426"/>
        <w:jc w:val="left"/>
      </w:pPr>
    </w:p>
    <w:p w14:paraId="3FDDF5E9" w14:textId="77777777" w:rsidR="00EE2D3A" w:rsidRDefault="00EE2D3A" w:rsidP="008B0C58">
      <w:pPr>
        <w:jc w:val="left"/>
        <w:rPr>
          <w:i/>
        </w:rPr>
      </w:pPr>
    </w:p>
    <w:p w14:paraId="5DF7B767" w14:textId="77777777" w:rsidR="00EE2D3A" w:rsidRDefault="00EE2D3A" w:rsidP="008B0C58">
      <w:pPr>
        <w:jc w:val="left"/>
        <w:rPr>
          <w:i/>
        </w:rPr>
      </w:pPr>
    </w:p>
    <w:p w14:paraId="5B903558" w14:textId="77777777" w:rsidR="00EE2D3A" w:rsidRDefault="00EE2D3A" w:rsidP="008B0C58">
      <w:pPr>
        <w:jc w:val="left"/>
        <w:rPr>
          <w:i/>
        </w:rPr>
      </w:pPr>
    </w:p>
    <w:p w14:paraId="3806E7BA" w14:textId="77777777" w:rsidR="00EE2D3A" w:rsidRDefault="00EE2D3A" w:rsidP="008B0C58">
      <w:pPr>
        <w:jc w:val="left"/>
        <w:rPr>
          <w:i/>
        </w:rPr>
      </w:pPr>
    </w:p>
    <w:p w14:paraId="6F1C5CC2" w14:textId="465B4F88" w:rsidR="00374830" w:rsidRDefault="00374830" w:rsidP="008B0C58">
      <w:pPr>
        <w:jc w:val="left"/>
        <w:rPr>
          <w:i/>
        </w:rPr>
      </w:pPr>
      <w:r w:rsidRPr="008B397B">
        <w:rPr>
          <w:i/>
        </w:rPr>
        <w:lastRenderedPageBreak/>
        <w:t xml:space="preserve">Neighbourhood Plan </w:t>
      </w:r>
      <w:r w:rsidR="00735E60" w:rsidRPr="008B397B">
        <w:rPr>
          <w:i/>
        </w:rPr>
        <w:t>Pr</w:t>
      </w:r>
      <w:r w:rsidRPr="008B397B">
        <w:rPr>
          <w:i/>
        </w:rPr>
        <w:t xml:space="preserve">eparation and </w:t>
      </w:r>
      <w:r w:rsidR="00735E60" w:rsidRPr="008B397B">
        <w:rPr>
          <w:i/>
        </w:rPr>
        <w:t>C</w:t>
      </w:r>
      <w:r w:rsidRPr="008B397B">
        <w:rPr>
          <w:i/>
        </w:rPr>
        <w:t>onsultation</w:t>
      </w:r>
    </w:p>
    <w:p w14:paraId="2E1F61D6" w14:textId="77777777" w:rsidR="00AD5038" w:rsidRPr="008B397B" w:rsidRDefault="00AD5038" w:rsidP="008B0C58">
      <w:pPr>
        <w:jc w:val="left"/>
        <w:rPr>
          <w:i/>
        </w:rPr>
      </w:pPr>
    </w:p>
    <w:p w14:paraId="04F913C1" w14:textId="39812A2E" w:rsidR="00AB4349" w:rsidRDefault="00735E60" w:rsidP="008B0C58">
      <w:pPr>
        <w:tabs>
          <w:tab w:val="left" w:pos="567"/>
        </w:tabs>
        <w:autoSpaceDE w:val="0"/>
        <w:autoSpaceDN w:val="0"/>
        <w:adjustRightInd w:val="0"/>
        <w:ind w:left="720" w:hanging="720"/>
        <w:jc w:val="left"/>
      </w:pPr>
      <w:r>
        <w:t xml:space="preserve">3.4 </w:t>
      </w:r>
      <w:r w:rsidR="00015BA5">
        <w:tab/>
      </w:r>
      <w:r w:rsidR="00015BA5">
        <w:tab/>
      </w:r>
      <w:r w:rsidR="00EA089B">
        <w:t>The FW</w:t>
      </w:r>
      <w:r w:rsidR="00503BE0">
        <w:t xml:space="preserve">NF </w:t>
      </w:r>
      <w:r w:rsidR="00EA089B">
        <w:t xml:space="preserve">was confirmed as the qualifying body for </w:t>
      </w:r>
      <w:r w:rsidR="00EA089B" w:rsidRPr="00FA7759">
        <w:t>the area, with a written constitution for a business neighbourhood</w:t>
      </w:r>
      <w:r w:rsidR="008B0C58" w:rsidRPr="00FA7759">
        <w:rPr>
          <w:rStyle w:val="FootnoteReference"/>
        </w:rPr>
        <w:footnoteReference w:id="10"/>
      </w:r>
      <w:r w:rsidR="00EA089B" w:rsidRPr="00FA7759">
        <w:t xml:space="preserve">, </w:t>
      </w:r>
      <w:r w:rsidR="00FA7759" w:rsidRPr="00FA7759">
        <w:t>in</w:t>
      </w:r>
      <w:r w:rsidR="00EA089B" w:rsidRPr="00FA7759">
        <w:t xml:space="preserve"> February 2015.</w:t>
      </w:r>
      <w:r w:rsidR="00EA089B">
        <w:t xml:space="preserve">  Membership of the Forum includes at least 200 businesses, residents and others who live and work from home.  It holds regular meetings and consultations using its website, and its Executive Committee has 12 members.  </w:t>
      </w:r>
      <w:r w:rsidR="003433CD">
        <w:t xml:space="preserve">The University of Westminster, which has a major presence in the area, </w:t>
      </w:r>
      <w:r w:rsidR="00C7497F">
        <w:t>has a seat</w:t>
      </w:r>
      <w:r w:rsidR="00697814">
        <w:t xml:space="preserve"> on the executive committee, as </w:t>
      </w:r>
      <w:r w:rsidR="00C7497F">
        <w:t>doe</w:t>
      </w:r>
      <w:r w:rsidR="00697814">
        <w:t>s t</w:t>
      </w:r>
      <w:r w:rsidR="00697814">
        <w:rPr>
          <w:szCs w:val="22"/>
        </w:rPr>
        <w:t xml:space="preserve">he New West End Company which represents many businesses in the southern part of the designated area.  </w:t>
      </w:r>
      <w:r w:rsidR="00EA089B">
        <w:t xml:space="preserve">As reported in the Consultation Statement, </w:t>
      </w:r>
      <w:r w:rsidR="00BF2FBC">
        <w:t>t</w:t>
      </w:r>
      <w:r w:rsidR="00EA089B">
        <w:t xml:space="preserve">he Forum has sought to engage and consult both residents and businesses as </w:t>
      </w:r>
      <w:r w:rsidR="005225E0">
        <w:t>extensive</w:t>
      </w:r>
      <w:r w:rsidR="00EA089B">
        <w:t xml:space="preserve">ly as possible in drawing up the FWNP.  </w:t>
      </w:r>
    </w:p>
    <w:p w14:paraId="627791C0" w14:textId="77777777" w:rsidR="00AB4349" w:rsidRDefault="00AB4349" w:rsidP="008B0C58">
      <w:pPr>
        <w:tabs>
          <w:tab w:val="left" w:pos="567"/>
        </w:tabs>
        <w:autoSpaceDE w:val="0"/>
        <w:autoSpaceDN w:val="0"/>
        <w:adjustRightInd w:val="0"/>
        <w:ind w:left="426" w:hanging="426"/>
        <w:jc w:val="left"/>
      </w:pPr>
    </w:p>
    <w:p w14:paraId="201F6D43" w14:textId="79625EE3" w:rsidR="00AB4349" w:rsidRDefault="00AB4349" w:rsidP="008B0C58">
      <w:pPr>
        <w:tabs>
          <w:tab w:val="left" w:pos="567"/>
        </w:tabs>
        <w:autoSpaceDE w:val="0"/>
        <w:autoSpaceDN w:val="0"/>
        <w:adjustRightInd w:val="0"/>
        <w:ind w:left="720" w:hanging="720"/>
        <w:jc w:val="left"/>
      </w:pPr>
      <w:r>
        <w:t xml:space="preserve">3.5 </w:t>
      </w:r>
      <w:r w:rsidR="00015BA5">
        <w:tab/>
      </w:r>
      <w:r w:rsidR="00015BA5">
        <w:tab/>
      </w:r>
      <w:r>
        <w:t>The strategy for consultation has been to use a wide variety of me</w:t>
      </w:r>
      <w:r w:rsidR="003433CD">
        <w:t>d</w:t>
      </w:r>
      <w:r>
        <w:t xml:space="preserve">ia, both to publicise activities and seek comments and suggestions.  At least one public meeting has been held each year since </w:t>
      </w:r>
      <w:r w:rsidR="005225E0">
        <w:t xml:space="preserve">the Forum’s </w:t>
      </w:r>
      <w:r>
        <w:t>inception, to keep members informed</w:t>
      </w:r>
      <w:r w:rsidR="005225E0">
        <w:t xml:space="preserve"> of </w:t>
      </w:r>
      <w:r w:rsidR="00072699">
        <w:t>P</w:t>
      </w:r>
      <w:r w:rsidR="005225E0">
        <w:t>lan progress</w:t>
      </w:r>
      <w:r>
        <w:t>.  The local community newspa</w:t>
      </w:r>
      <w:r w:rsidR="00697814">
        <w:t>p</w:t>
      </w:r>
      <w:r>
        <w:t>er, Fitzrovia News, has publicised all key consultation stages.  Regular e-mails, blogs and other forms of social media have been used to publicise the existence of the Forum and to consult on priorities for the Plan.</w:t>
      </w:r>
      <w:r w:rsidR="003433CD">
        <w:t xml:space="preserve">  </w:t>
      </w:r>
    </w:p>
    <w:p w14:paraId="70AF5623" w14:textId="77777777" w:rsidR="00AB4349" w:rsidRDefault="00AB4349" w:rsidP="008B0C58">
      <w:pPr>
        <w:tabs>
          <w:tab w:val="left" w:pos="567"/>
        </w:tabs>
        <w:autoSpaceDE w:val="0"/>
        <w:autoSpaceDN w:val="0"/>
        <w:adjustRightInd w:val="0"/>
        <w:ind w:left="426" w:hanging="426"/>
        <w:jc w:val="left"/>
      </w:pPr>
    </w:p>
    <w:p w14:paraId="118882C4" w14:textId="40FD16F2" w:rsidR="00AB4349" w:rsidRDefault="00AB4349" w:rsidP="00D91121">
      <w:pPr>
        <w:tabs>
          <w:tab w:val="left" w:pos="567"/>
        </w:tabs>
        <w:autoSpaceDE w:val="0"/>
        <w:autoSpaceDN w:val="0"/>
        <w:adjustRightInd w:val="0"/>
        <w:ind w:left="720" w:hanging="720"/>
        <w:jc w:val="left"/>
      </w:pPr>
      <w:r>
        <w:t xml:space="preserve">3.6 </w:t>
      </w:r>
      <w:r w:rsidR="00015BA5">
        <w:tab/>
      </w:r>
      <w:r w:rsidR="00015BA5">
        <w:tab/>
      </w:r>
      <w:r>
        <w:t xml:space="preserve">The first public meeting of the Forum took place on 14 April 2015 at the University of Westminster, and those attending were invited to report back on issues of local concern.  An exhibition of issues and proposals followed </w:t>
      </w:r>
      <w:r w:rsidR="00C7497F">
        <w:t xml:space="preserve">at the annual general meeting, held </w:t>
      </w:r>
      <w:r>
        <w:t>at the Getty Images Gallery</w:t>
      </w:r>
      <w:r w:rsidR="00697814">
        <w:t>,</w:t>
      </w:r>
      <w:r>
        <w:t xml:space="preserve"> in January 2016.  </w:t>
      </w:r>
      <w:r w:rsidR="00697814">
        <w:t xml:space="preserve">Approximately 50 people attended </w:t>
      </w:r>
      <w:r>
        <w:t xml:space="preserve">and left comments </w:t>
      </w:r>
      <w:r w:rsidR="00697814">
        <w:t xml:space="preserve">after viewing the display boards </w:t>
      </w:r>
      <w:r>
        <w:t>on seven identified issues.  A first draft of the FWNP was produced in 2017 and submitted to WCC for comment from its officers.  The Forum’s annual general meetings in 2018 and 2019 enabled further engagement with the local community.</w:t>
      </w:r>
      <w:r w:rsidR="00C721DC">
        <w:t xml:space="preserve">  44 people attended the 2019 meeting to which all residents and businesses were invited by way of a blog and hand-delivered flyers.</w:t>
      </w:r>
    </w:p>
    <w:p w14:paraId="3D0D4B08" w14:textId="77777777" w:rsidR="00C721DC" w:rsidRDefault="00C721DC">
      <w:pPr>
        <w:tabs>
          <w:tab w:val="left" w:pos="567"/>
        </w:tabs>
        <w:autoSpaceDE w:val="0"/>
        <w:autoSpaceDN w:val="0"/>
        <w:adjustRightInd w:val="0"/>
        <w:ind w:left="426" w:hanging="426"/>
        <w:jc w:val="left"/>
      </w:pPr>
    </w:p>
    <w:p w14:paraId="420443BA" w14:textId="589C98D8" w:rsidR="003F4AD4" w:rsidRPr="006863A0" w:rsidRDefault="00C721DC">
      <w:pPr>
        <w:tabs>
          <w:tab w:val="left" w:pos="567"/>
        </w:tabs>
        <w:autoSpaceDE w:val="0"/>
        <w:autoSpaceDN w:val="0"/>
        <w:adjustRightInd w:val="0"/>
        <w:ind w:left="720" w:hanging="720"/>
        <w:jc w:val="left"/>
      </w:pPr>
      <w:r>
        <w:t xml:space="preserve">3.7 </w:t>
      </w:r>
      <w:r w:rsidR="00015BA5">
        <w:tab/>
      </w:r>
      <w:r w:rsidR="00015BA5">
        <w:tab/>
      </w:r>
      <w:r>
        <w:t xml:space="preserve">Consultation </w:t>
      </w:r>
      <w:r w:rsidR="008D7A95">
        <w:t xml:space="preserve">in accordance with Regulation 14 of the </w:t>
      </w:r>
      <w:r w:rsidR="00072699">
        <w:t>2012 Re</w:t>
      </w:r>
      <w:r w:rsidR="008D7A95">
        <w:t>gulations was carried out between 1 July and 13 August 2019 and included all statutory agencies.</w:t>
      </w:r>
      <w:r w:rsidR="00624A52">
        <w:t xml:space="preserve">  Appendix 8 of the Consultation Statement indicates that 34 responses were received and considered by the Forum.  A number of changes were consequently made to the </w:t>
      </w:r>
      <w:r w:rsidR="00E4034F">
        <w:t>d</w:t>
      </w:r>
      <w:r w:rsidR="00624A52">
        <w:t xml:space="preserve">raft Neighbourhood Plan as highlighted in Table 2 of the Consultation </w:t>
      </w:r>
      <w:r w:rsidR="006863A0">
        <w:t>Statement</w:t>
      </w:r>
      <w:r w:rsidR="00624A52">
        <w:t xml:space="preserve">.  </w:t>
      </w:r>
      <w:r w:rsidR="000852BC">
        <w:t>The revised Plan, submitted for examination in April 2020, was consulted on in accordance with Regulation 16, between 26 May and 4 August 2020</w:t>
      </w:r>
      <w:r w:rsidR="006863A0">
        <w:t>,</w:t>
      </w:r>
      <w:r w:rsidR="000852BC">
        <w:t xml:space="preserve"> and it elicited 34 responses.  I have taken account of these representations in my examination of the Plan.  Overall, I am satisfied that </w:t>
      </w:r>
      <w:r w:rsidR="003F4AD4" w:rsidRPr="006863A0">
        <w:t>the consultation pr</w:t>
      </w:r>
      <w:r w:rsidR="0083641B" w:rsidRPr="006863A0">
        <w:t>o</w:t>
      </w:r>
      <w:r w:rsidR="003F4AD4" w:rsidRPr="006863A0">
        <w:t xml:space="preserve">cess has met </w:t>
      </w:r>
      <w:r w:rsidR="005B50E6" w:rsidRPr="006863A0">
        <w:t>t</w:t>
      </w:r>
      <w:r w:rsidR="003F4AD4" w:rsidRPr="006863A0">
        <w:t>he legal requir</w:t>
      </w:r>
      <w:r w:rsidR="005B50E6" w:rsidRPr="006863A0">
        <w:t>e</w:t>
      </w:r>
      <w:r w:rsidR="003F4AD4" w:rsidRPr="006863A0">
        <w:t xml:space="preserve">ments </w:t>
      </w:r>
      <w:r w:rsidR="00363D31" w:rsidRPr="006863A0">
        <w:t>i.e.</w:t>
      </w:r>
      <w:r w:rsidR="003F4AD4" w:rsidRPr="006863A0">
        <w:t xml:space="preserve"> procedural compliance</w:t>
      </w:r>
      <w:r w:rsidR="0087061E" w:rsidRPr="006863A0">
        <w:t xml:space="preserve"> and has had regard to the advice in the</w:t>
      </w:r>
      <w:r w:rsidR="006863A0">
        <w:t xml:space="preserve"> </w:t>
      </w:r>
      <w:r w:rsidR="0087061E" w:rsidRPr="006863A0">
        <w:t>PPG on plan preparation</w:t>
      </w:r>
      <w:r w:rsidR="005B50E6" w:rsidRPr="006863A0">
        <w:t>.</w:t>
      </w:r>
    </w:p>
    <w:p w14:paraId="38A71DE6" w14:textId="77777777" w:rsidR="00AD5038" w:rsidRPr="00363D31" w:rsidRDefault="00AD5038">
      <w:pPr>
        <w:tabs>
          <w:tab w:val="left" w:pos="567"/>
        </w:tabs>
        <w:autoSpaceDE w:val="0"/>
        <w:autoSpaceDN w:val="0"/>
        <w:adjustRightInd w:val="0"/>
        <w:ind w:left="426" w:hanging="426"/>
        <w:jc w:val="left"/>
        <w:rPr>
          <w:color w:val="1F4E79" w:themeColor="accent1" w:themeShade="80"/>
        </w:rPr>
      </w:pPr>
    </w:p>
    <w:p w14:paraId="7E32C689" w14:textId="77777777" w:rsidR="00C7497F" w:rsidRDefault="00374830" w:rsidP="008B0C58">
      <w:pPr>
        <w:jc w:val="left"/>
        <w:rPr>
          <w:i/>
        </w:rPr>
      </w:pPr>
      <w:r w:rsidRPr="0083641B">
        <w:rPr>
          <w:i/>
        </w:rPr>
        <w:lastRenderedPageBreak/>
        <w:t>D</w:t>
      </w:r>
      <w:r w:rsidRPr="00CE61B9">
        <w:rPr>
          <w:i/>
        </w:rPr>
        <w:t xml:space="preserve">evelopment and Use of Land </w:t>
      </w:r>
      <w:r w:rsidR="00C7497F">
        <w:rPr>
          <w:i/>
        </w:rPr>
        <w:t xml:space="preserve">and </w:t>
      </w:r>
      <w:r w:rsidR="00C7497F" w:rsidRPr="000D7758">
        <w:rPr>
          <w:i/>
        </w:rPr>
        <w:t>Excluded Development</w:t>
      </w:r>
    </w:p>
    <w:p w14:paraId="7CF768A2" w14:textId="77777777" w:rsidR="00A73AD5" w:rsidRDefault="00A73AD5" w:rsidP="008B0C58">
      <w:pPr>
        <w:tabs>
          <w:tab w:val="left" w:pos="567"/>
        </w:tabs>
        <w:autoSpaceDE w:val="0"/>
        <w:autoSpaceDN w:val="0"/>
        <w:adjustRightInd w:val="0"/>
        <w:ind w:left="426" w:hanging="426"/>
        <w:jc w:val="left"/>
        <w:rPr>
          <w:i/>
        </w:rPr>
      </w:pPr>
    </w:p>
    <w:p w14:paraId="3A75FA39" w14:textId="31B52BA9" w:rsidR="00A73AD5" w:rsidRPr="00723693" w:rsidRDefault="00A73AD5" w:rsidP="008B0C58">
      <w:pPr>
        <w:ind w:left="720" w:hanging="720"/>
        <w:jc w:val="left"/>
      </w:pPr>
      <w:r>
        <w:t>3.</w:t>
      </w:r>
      <w:r w:rsidR="006863A0">
        <w:t xml:space="preserve">8 </w:t>
      </w:r>
      <w:r w:rsidR="00015BA5">
        <w:tab/>
      </w:r>
      <w:r w:rsidR="00E718D8">
        <w:t>The P</w:t>
      </w:r>
      <w:r w:rsidR="00A04A57">
        <w:t>lan</w:t>
      </w:r>
      <w:r w:rsidR="00C9510C" w:rsidRPr="00A04A57">
        <w:t xml:space="preserve"> sets out policies in relation to the development and use of land </w:t>
      </w:r>
      <w:r w:rsidR="00C53C30" w:rsidRPr="00A04A57">
        <w:t xml:space="preserve">in accordance with </w:t>
      </w:r>
      <w:r w:rsidR="00A04A57" w:rsidRPr="00A04A57">
        <w:t>s</w:t>
      </w:r>
      <w:r w:rsidR="00971A14">
        <w:t>.</w:t>
      </w:r>
      <w:r w:rsidR="00A04A57" w:rsidRPr="00A04A57">
        <w:t xml:space="preserve">38A of the </w:t>
      </w:r>
      <w:r w:rsidR="00060C6F">
        <w:t>2004 Act</w:t>
      </w:r>
      <w:r w:rsidR="00A04A57" w:rsidRPr="00363D31">
        <w:rPr>
          <w:color w:val="1F4E79" w:themeColor="accent1" w:themeShade="80"/>
        </w:rPr>
        <w:t xml:space="preserve">.  </w:t>
      </w:r>
      <w:r w:rsidR="0083572D">
        <w:t xml:space="preserve">The </w:t>
      </w:r>
      <w:r w:rsidR="00E718D8">
        <w:t>P</w:t>
      </w:r>
      <w:r w:rsidR="0083572D" w:rsidRPr="0083572D">
        <w:t>lan</w:t>
      </w:r>
      <w:r w:rsidR="00C7497F">
        <w:t xml:space="preserve"> </w:t>
      </w:r>
      <w:r w:rsidR="0083572D" w:rsidRPr="00C7497F">
        <w:t>does not</w:t>
      </w:r>
      <w:r w:rsidR="00C9510C" w:rsidRPr="00C7497F">
        <w:t xml:space="preserve"> include</w:t>
      </w:r>
      <w:r w:rsidR="00C9510C" w:rsidRPr="00A04A57">
        <w:t xml:space="preserve"> provisions and policies fo</w:t>
      </w:r>
      <w:r w:rsidR="00A04A57" w:rsidRPr="00A04A57">
        <w:t xml:space="preserve">r ‘excluded development’.  </w:t>
      </w:r>
    </w:p>
    <w:p w14:paraId="5B0D41C9" w14:textId="77777777" w:rsidR="0083641B" w:rsidRDefault="0083641B" w:rsidP="008B0C58">
      <w:pPr>
        <w:jc w:val="left"/>
        <w:rPr>
          <w:i/>
        </w:rPr>
      </w:pPr>
    </w:p>
    <w:p w14:paraId="26A19722" w14:textId="77777777" w:rsidR="00A73AD5" w:rsidRDefault="00FA0583" w:rsidP="008B0C58">
      <w:pPr>
        <w:jc w:val="left"/>
        <w:rPr>
          <w:i/>
        </w:rPr>
      </w:pPr>
      <w:r w:rsidRPr="00FA0583">
        <w:rPr>
          <w:i/>
        </w:rPr>
        <w:t>Human Rights</w:t>
      </w:r>
    </w:p>
    <w:p w14:paraId="202FC866" w14:textId="77777777" w:rsidR="0083641B" w:rsidRPr="00A73AD5" w:rsidRDefault="0083641B" w:rsidP="008B0C58">
      <w:pPr>
        <w:jc w:val="left"/>
        <w:rPr>
          <w:i/>
        </w:rPr>
      </w:pPr>
    </w:p>
    <w:p w14:paraId="6427AABF" w14:textId="5B68AACA" w:rsidR="000D7758" w:rsidRDefault="00A108B2" w:rsidP="008B0C58">
      <w:pPr>
        <w:ind w:left="720" w:hanging="720"/>
        <w:jc w:val="left"/>
      </w:pPr>
      <w:r>
        <w:t>3.</w:t>
      </w:r>
      <w:r w:rsidR="00723693">
        <w:t>9</w:t>
      </w:r>
      <w:r w:rsidR="00A84321">
        <w:t xml:space="preserve"> </w:t>
      </w:r>
      <w:r w:rsidR="00015BA5">
        <w:tab/>
      </w:r>
      <w:r w:rsidR="000E363C">
        <w:t>F</w:t>
      </w:r>
      <w:r w:rsidR="00E4034F">
        <w:t>WNF</w:t>
      </w:r>
      <w:r w:rsidR="000E363C">
        <w:t>,</w:t>
      </w:r>
      <w:r w:rsidR="00723693">
        <w:t xml:space="preserve"> in its response to my letter of September 2020, confirmed </w:t>
      </w:r>
      <w:r w:rsidR="00E718D8">
        <w:t>that the P</w:t>
      </w:r>
      <w:r w:rsidR="00A04A57" w:rsidRPr="00A04A57">
        <w:t xml:space="preserve">lan </w:t>
      </w:r>
      <w:r w:rsidR="000E363C">
        <w:t>had been prepared with consideration given to</w:t>
      </w:r>
      <w:r w:rsidR="00C9510C" w:rsidRPr="00A04A57">
        <w:t xml:space="preserve"> Human Rights </w:t>
      </w:r>
      <w:r w:rsidR="00A04A57" w:rsidRPr="00A04A57">
        <w:t>(within the meaning of the Human Rights Act 1998)</w:t>
      </w:r>
      <w:r w:rsidR="000E363C">
        <w:t>.  WCC</w:t>
      </w:r>
      <w:r w:rsidR="00A04A57" w:rsidRPr="00A04A57">
        <w:t xml:space="preserve"> </w:t>
      </w:r>
      <w:r w:rsidR="000E363C">
        <w:t>submitted a detailed response</w:t>
      </w:r>
      <w:r w:rsidR="00751727">
        <w:t xml:space="preserve"> to the FWNP</w:t>
      </w:r>
      <w:r w:rsidR="000E363C">
        <w:t xml:space="preserve"> as part of the Regulation 16 consultation exercise</w:t>
      </w:r>
      <w:r w:rsidR="00751727">
        <w:t>,</w:t>
      </w:r>
      <w:r w:rsidR="000E363C">
        <w:t xml:space="preserve"> outlining areas of agreement and disagreement with the Plan’s contents.  The Council also contributed to the Statement of Common Ground with the Forum in December 2020</w:t>
      </w:r>
      <w:r w:rsidR="00751727">
        <w:t>, in response to questions from me in September 2020</w:t>
      </w:r>
      <w:r w:rsidR="000E363C">
        <w:t xml:space="preserve">.  </w:t>
      </w:r>
      <w:r w:rsidR="004B4CDB">
        <w:t xml:space="preserve">Neither </w:t>
      </w:r>
      <w:r w:rsidR="000E363C">
        <w:t xml:space="preserve">WCC </w:t>
      </w:r>
      <w:r w:rsidR="004B4CDB">
        <w:t>nor any other party</w:t>
      </w:r>
      <w:r w:rsidR="000E363C">
        <w:t xml:space="preserve"> alleged that the Plan would breach human rights</w:t>
      </w:r>
      <w:r w:rsidR="00751727">
        <w:t>,</w:t>
      </w:r>
      <w:r w:rsidR="000E363C">
        <w:t xml:space="preserve"> </w:t>
      </w:r>
      <w:r w:rsidR="00A04A57" w:rsidRPr="00A04A57">
        <w:t xml:space="preserve">and </w:t>
      </w:r>
      <w:r w:rsidR="00060C6F">
        <w:t>from my independent assessment</w:t>
      </w:r>
      <w:r w:rsidR="00A84321">
        <w:t>,</w:t>
      </w:r>
      <w:r w:rsidR="00751727">
        <w:t xml:space="preserve"> </w:t>
      </w:r>
      <w:r w:rsidR="00A04A57" w:rsidRPr="00A04A57">
        <w:t xml:space="preserve">I see no reason </w:t>
      </w:r>
      <w:r w:rsidR="004B4CDB">
        <w:t>to disagree</w:t>
      </w:r>
      <w:r w:rsidR="00A04A57" w:rsidRPr="00A04A57">
        <w:t>.</w:t>
      </w:r>
    </w:p>
    <w:p w14:paraId="60CE5C58" w14:textId="77777777" w:rsidR="00917828" w:rsidRDefault="00917828" w:rsidP="00917828">
      <w:pPr>
        <w:spacing w:line="259" w:lineRule="auto"/>
        <w:jc w:val="left"/>
      </w:pPr>
    </w:p>
    <w:p w14:paraId="67B97894" w14:textId="77777777" w:rsidR="00917828" w:rsidRDefault="00917828" w:rsidP="00917828">
      <w:pPr>
        <w:spacing w:line="259" w:lineRule="auto"/>
        <w:jc w:val="left"/>
      </w:pPr>
    </w:p>
    <w:p w14:paraId="5153B316" w14:textId="77777777" w:rsidR="001365AC" w:rsidRDefault="00846A98" w:rsidP="008B0C58">
      <w:pPr>
        <w:jc w:val="left"/>
        <w:rPr>
          <w:b/>
        </w:rPr>
      </w:pPr>
      <w:r w:rsidRPr="00846A98">
        <w:rPr>
          <w:b/>
        </w:rPr>
        <w:t>4</w:t>
      </w:r>
      <w:r w:rsidR="00152550" w:rsidRPr="00846A98">
        <w:rPr>
          <w:b/>
        </w:rPr>
        <w:t xml:space="preserve">. </w:t>
      </w:r>
      <w:r w:rsidR="00514D35" w:rsidRPr="00846A98">
        <w:rPr>
          <w:b/>
        </w:rPr>
        <w:t xml:space="preserve">Compliance with the Basic Conditions </w:t>
      </w:r>
    </w:p>
    <w:p w14:paraId="130A2D5C" w14:textId="77777777" w:rsidR="00917828" w:rsidRDefault="00917828" w:rsidP="008B0C58">
      <w:pPr>
        <w:jc w:val="left"/>
        <w:rPr>
          <w:i/>
        </w:rPr>
      </w:pPr>
    </w:p>
    <w:p w14:paraId="087AD826" w14:textId="77777777" w:rsidR="001365AC" w:rsidRDefault="001365AC" w:rsidP="008B0C58">
      <w:pPr>
        <w:jc w:val="left"/>
        <w:rPr>
          <w:i/>
        </w:rPr>
      </w:pPr>
      <w:r w:rsidRPr="000D7758">
        <w:rPr>
          <w:i/>
        </w:rPr>
        <w:t>EU Obligations</w:t>
      </w:r>
    </w:p>
    <w:p w14:paraId="6BC2E658" w14:textId="77777777" w:rsidR="00917828" w:rsidRPr="000D7758" w:rsidRDefault="00917828" w:rsidP="008B0C58">
      <w:pPr>
        <w:jc w:val="left"/>
        <w:rPr>
          <w:i/>
        </w:rPr>
      </w:pPr>
    </w:p>
    <w:p w14:paraId="2F0BB52E" w14:textId="36830D1C" w:rsidR="000B3144" w:rsidRPr="00723693" w:rsidRDefault="00BE6BDD" w:rsidP="008B0C58">
      <w:pPr>
        <w:ind w:left="720" w:hanging="720"/>
        <w:jc w:val="left"/>
      </w:pPr>
      <w:r>
        <w:t xml:space="preserve">4.1 </w:t>
      </w:r>
      <w:r w:rsidR="00015BA5">
        <w:tab/>
      </w:r>
      <w:r w:rsidR="001365AC" w:rsidRPr="00723693">
        <w:t xml:space="preserve">The </w:t>
      </w:r>
      <w:r w:rsidR="00723693">
        <w:t>FWNP</w:t>
      </w:r>
      <w:r w:rsidR="001365AC" w:rsidRPr="00723693">
        <w:t xml:space="preserve"> was screened for SEA by </w:t>
      </w:r>
      <w:r w:rsidR="00723693">
        <w:t>WCC</w:t>
      </w:r>
      <w:r w:rsidR="001365AC" w:rsidRPr="00723693">
        <w:t xml:space="preserve">, which found that </w:t>
      </w:r>
      <w:r w:rsidR="00723693">
        <w:t>the Plan was unlikely to have significant environmental effects.  I</w:t>
      </w:r>
      <w:r w:rsidR="001365AC" w:rsidRPr="00723693">
        <w:t xml:space="preserve">t was </w:t>
      </w:r>
      <w:r w:rsidR="00723693">
        <w:t xml:space="preserve">therefore considered </w:t>
      </w:r>
      <w:r w:rsidR="001365AC" w:rsidRPr="00723693">
        <w:t>unnecessary</w:t>
      </w:r>
      <w:r w:rsidR="003F4AD4" w:rsidRPr="00723693">
        <w:t xml:space="preserve"> </w:t>
      </w:r>
      <w:r w:rsidR="001365AC" w:rsidRPr="00723693">
        <w:t xml:space="preserve">to undertake SEA.  </w:t>
      </w:r>
      <w:r w:rsidR="00BD1981" w:rsidRPr="00723693">
        <w:t xml:space="preserve">Having read the Strategic Environmental Assessment Screening </w:t>
      </w:r>
      <w:r w:rsidR="00723693">
        <w:t>Report</w:t>
      </w:r>
      <w:r w:rsidR="00BD1981" w:rsidRPr="00723693">
        <w:t xml:space="preserve">, </w:t>
      </w:r>
      <w:r w:rsidR="00723693">
        <w:t>January 2020</w:t>
      </w:r>
      <w:r w:rsidR="005A29DB">
        <w:t>,</w:t>
      </w:r>
      <w:r w:rsidR="00723693">
        <w:t xml:space="preserve"> </w:t>
      </w:r>
      <w:r w:rsidR="00BD1981" w:rsidRPr="00723693">
        <w:t>I support th</w:t>
      </w:r>
      <w:r w:rsidR="00723693">
        <w:t>e SEA</w:t>
      </w:r>
      <w:r w:rsidR="00BD1981" w:rsidRPr="00723693">
        <w:t xml:space="preserve"> conclusion</w:t>
      </w:r>
      <w:r w:rsidR="00723693">
        <w:t>.</w:t>
      </w:r>
    </w:p>
    <w:p w14:paraId="6F327F3F" w14:textId="77777777" w:rsidR="00E718D8" w:rsidRPr="00D4654B" w:rsidRDefault="00E718D8" w:rsidP="008B0C58">
      <w:pPr>
        <w:ind w:firstLine="0"/>
        <w:jc w:val="left"/>
        <w:rPr>
          <w:color w:val="FF0000"/>
        </w:rPr>
      </w:pPr>
    </w:p>
    <w:p w14:paraId="7F489669" w14:textId="5A10EA65" w:rsidR="00AD5038" w:rsidRPr="005A29DB" w:rsidRDefault="00BE6BDD" w:rsidP="008B0C58">
      <w:pPr>
        <w:ind w:left="720" w:hanging="720"/>
        <w:jc w:val="left"/>
        <w:rPr>
          <w:highlight w:val="yellow"/>
        </w:rPr>
      </w:pPr>
      <w:r>
        <w:t xml:space="preserve">4.2 </w:t>
      </w:r>
      <w:r w:rsidR="00015BA5">
        <w:tab/>
      </w:r>
      <w:r w:rsidR="00723693">
        <w:t>The FWNP</w:t>
      </w:r>
      <w:r w:rsidR="001365AC" w:rsidRPr="00723693">
        <w:t xml:space="preserve"> was </w:t>
      </w:r>
      <w:r w:rsidR="0085721A">
        <w:t>also</w:t>
      </w:r>
      <w:r w:rsidR="00735E60" w:rsidRPr="00723693">
        <w:t xml:space="preserve"> </w:t>
      </w:r>
      <w:r w:rsidR="001365AC" w:rsidRPr="00723693">
        <w:t xml:space="preserve">screened for HRA </w:t>
      </w:r>
      <w:r w:rsidR="005A29DB">
        <w:t>and WCC concluded that further stages of Appropriate Assessment were not required</w:t>
      </w:r>
      <w:r w:rsidR="001365AC" w:rsidRPr="00723693">
        <w:t xml:space="preserve">.  </w:t>
      </w:r>
      <w:r w:rsidR="005A29DB">
        <w:t>Fitzrovia West</w:t>
      </w:r>
      <w:r w:rsidR="005A29DB" w:rsidRPr="005A29DB">
        <w:t xml:space="preserve"> is not in close proximity to a European designated nature site.  </w:t>
      </w:r>
      <w:r w:rsidR="005A29DB">
        <w:t>Having read the WCC’s HRA Screening Report, January 2020, and its Annex 1, which contains supportive consultation responses from Historic England, Natural England and the Environment Agency, I agree with the results of the screening assessment.</w:t>
      </w:r>
    </w:p>
    <w:p w14:paraId="1EBF242C" w14:textId="77777777" w:rsidR="0085721A" w:rsidRDefault="0085721A" w:rsidP="008B0C58">
      <w:pPr>
        <w:ind w:left="0" w:firstLine="0"/>
        <w:jc w:val="left"/>
      </w:pPr>
    </w:p>
    <w:p w14:paraId="25DB605C" w14:textId="77777777" w:rsidR="001365AC" w:rsidRPr="005A35EF" w:rsidRDefault="001365AC" w:rsidP="008B0C58">
      <w:pPr>
        <w:ind w:left="0" w:firstLine="0"/>
        <w:jc w:val="left"/>
        <w:rPr>
          <w:i/>
          <w:iCs/>
        </w:rPr>
      </w:pPr>
      <w:r w:rsidRPr="005A35EF">
        <w:rPr>
          <w:i/>
          <w:iCs/>
        </w:rPr>
        <w:t>Main Issues</w:t>
      </w:r>
    </w:p>
    <w:p w14:paraId="6C0C81FC" w14:textId="77777777" w:rsidR="00AD5038" w:rsidRPr="00917828" w:rsidRDefault="00AD5038" w:rsidP="008B0C58">
      <w:pPr>
        <w:ind w:left="0" w:firstLine="0"/>
        <w:jc w:val="left"/>
      </w:pPr>
    </w:p>
    <w:p w14:paraId="36E39536" w14:textId="13DA303E" w:rsidR="003F4AD4" w:rsidRPr="0085721A" w:rsidRDefault="001E4F13" w:rsidP="008B0C58">
      <w:pPr>
        <w:ind w:left="720" w:hanging="720"/>
        <w:jc w:val="left"/>
      </w:pPr>
      <w:r>
        <w:t>4.</w:t>
      </w:r>
      <w:r w:rsidRPr="00CC31B2">
        <w:t>3</w:t>
      </w:r>
      <w:r w:rsidR="00CC31B2">
        <w:t xml:space="preserve"> </w:t>
      </w:r>
      <w:r w:rsidR="00015BA5">
        <w:tab/>
      </w:r>
      <w:r w:rsidR="00162DD0">
        <w:t>I h</w:t>
      </w:r>
      <w:r w:rsidR="00BF1553" w:rsidRPr="00CC31B2">
        <w:t>av</w:t>
      </w:r>
      <w:r w:rsidR="00162DD0">
        <w:t>e</w:t>
      </w:r>
      <w:r w:rsidR="00BF1553" w:rsidRPr="00CC31B2">
        <w:t xml:space="preserve"> read </w:t>
      </w:r>
      <w:r w:rsidR="00CC31B2">
        <w:t>the submitted FWNP</w:t>
      </w:r>
      <w:r w:rsidR="00AD42A3" w:rsidRPr="00CC31B2">
        <w:t>, the consultation responses</w:t>
      </w:r>
      <w:r w:rsidR="0085721A">
        <w:t>,</w:t>
      </w:r>
      <w:r w:rsidR="00AD42A3" w:rsidRPr="00CC31B2">
        <w:t xml:space="preserve"> </w:t>
      </w:r>
      <w:r w:rsidR="00162DD0">
        <w:t>the Forum’s responses to my preliminary questions (including the Statement of Common Ground with WCC</w:t>
      </w:r>
      <w:r w:rsidR="004B4CDB">
        <w:t>, made in December 2020</w:t>
      </w:r>
      <w:r w:rsidR="00162DD0">
        <w:t xml:space="preserve">), as well as </w:t>
      </w:r>
      <w:r w:rsidR="0085721A">
        <w:t xml:space="preserve">all </w:t>
      </w:r>
      <w:r w:rsidR="00AD42A3" w:rsidRPr="00CC31B2">
        <w:t>other</w:t>
      </w:r>
      <w:r w:rsidR="00CC31B2">
        <w:t xml:space="preserve"> background </w:t>
      </w:r>
      <w:r w:rsidR="00AD42A3" w:rsidRPr="00CC31B2">
        <w:t xml:space="preserve">evidence, and </w:t>
      </w:r>
      <w:r w:rsidR="00162DD0">
        <w:t xml:space="preserve">I </w:t>
      </w:r>
      <w:r w:rsidR="00CC31B2">
        <w:t>hav</w:t>
      </w:r>
      <w:r w:rsidR="00162DD0">
        <w:t>e</w:t>
      </w:r>
      <w:r w:rsidR="00CC31B2">
        <w:t xml:space="preserve"> undertaken </w:t>
      </w:r>
      <w:r w:rsidR="0034268F" w:rsidRPr="00CC31B2">
        <w:t xml:space="preserve">the site </w:t>
      </w:r>
      <w:r w:rsidR="00AD42A3" w:rsidRPr="00CC31B2">
        <w:t>visit</w:t>
      </w:r>
      <w:r w:rsidR="00162DD0">
        <w:t xml:space="preserve">.  Based on all the evidence, </w:t>
      </w:r>
      <w:r w:rsidR="00CC31B2">
        <w:t xml:space="preserve">I have assessed the compliance of the Plan as two main matters. </w:t>
      </w:r>
      <w:r w:rsidR="00AD42A3" w:rsidRPr="00CC31B2">
        <w:t xml:space="preserve"> </w:t>
      </w:r>
      <w:r w:rsidR="0085721A">
        <w:t>These are</w:t>
      </w:r>
      <w:r w:rsidR="003F4AD4" w:rsidRPr="00CC31B2">
        <w:rPr>
          <w:szCs w:val="22"/>
        </w:rPr>
        <w:t>:</w:t>
      </w:r>
    </w:p>
    <w:p w14:paraId="53E00B69" w14:textId="77777777" w:rsidR="003F4AD4" w:rsidRPr="00CC31B2" w:rsidRDefault="003F4AD4" w:rsidP="008B0C58">
      <w:pPr>
        <w:pStyle w:val="ListParagraph"/>
        <w:numPr>
          <w:ilvl w:val="0"/>
          <w:numId w:val="6"/>
        </w:numPr>
        <w:spacing w:after="160"/>
        <w:jc w:val="left"/>
        <w:rPr>
          <w:szCs w:val="22"/>
        </w:rPr>
      </w:pPr>
      <w:r w:rsidRPr="00CC31B2">
        <w:rPr>
          <w:szCs w:val="22"/>
        </w:rPr>
        <w:t>General issues of compliance of the Plan, as a whole; and</w:t>
      </w:r>
    </w:p>
    <w:p w14:paraId="5522B055" w14:textId="77777777" w:rsidR="003F4AD4" w:rsidRPr="00CC31B2" w:rsidRDefault="003F4AD4" w:rsidP="008B0C58">
      <w:pPr>
        <w:pStyle w:val="ListParagraph"/>
        <w:numPr>
          <w:ilvl w:val="0"/>
          <w:numId w:val="6"/>
        </w:numPr>
        <w:jc w:val="left"/>
        <w:rPr>
          <w:szCs w:val="22"/>
        </w:rPr>
      </w:pPr>
      <w:r w:rsidRPr="00CC31B2">
        <w:rPr>
          <w:szCs w:val="22"/>
        </w:rPr>
        <w:t>Specific issues of compliance of the Plan policies.</w:t>
      </w:r>
    </w:p>
    <w:p w14:paraId="2ED38A04" w14:textId="77777777" w:rsidR="00E718D8" w:rsidRPr="00D4654B" w:rsidRDefault="00E718D8" w:rsidP="008B0C58">
      <w:pPr>
        <w:pStyle w:val="ListParagraph"/>
        <w:ind w:left="780" w:firstLine="0"/>
        <w:jc w:val="left"/>
        <w:rPr>
          <w:color w:val="FF0000"/>
          <w:szCs w:val="22"/>
        </w:rPr>
      </w:pPr>
    </w:p>
    <w:p w14:paraId="65EEDDF5" w14:textId="77777777" w:rsidR="00DC4FB3" w:rsidRDefault="00DC4FB3" w:rsidP="008B0C58">
      <w:pPr>
        <w:jc w:val="left"/>
        <w:rPr>
          <w:i/>
        </w:rPr>
      </w:pPr>
    </w:p>
    <w:p w14:paraId="04628CD4" w14:textId="6FF35ACA" w:rsidR="0085721A" w:rsidRPr="0085721A" w:rsidRDefault="0085721A" w:rsidP="008B0C58">
      <w:pPr>
        <w:jc w:val="left"/>
        <w:rPr>
          <w:i/>
        </w:rPr>
      </w:pPr>
      <w:r w:rsidRPr="0085721A">
        <w:rPr>
          <w:i/>
        </w:rPr>
        <w:lastRenderedPageBreak/>
        <w:t xml:space="preserve">Compliance of the Plan as a </w:t>
      </w:r>
      <w:r w:rsidR="00A61BAD">
        <w:rPr>
          <w:i/>
        </w:rPr>
        <w:t>W</w:t>
      </w:r>
      <w:r w:rsidRPr="0085721A">
        <w:rPr>
          <w:i/>
        </w:rPr>
        <w:t>hole</w:t>
      </w:r>
    </w:p>
    <w:p w14:paraId="53C15E88" w14:textId="77777777" w:rsidR="0085721A" w:rsidRDefault="0085721A" w:rsidP="008B0C58">
      <w:pPr>
        <w:jc w:val="left"/>
        <w:rPr>
          <w:color w:val="1F4E79" w:themeColor="accent1" w:themeShade="80"/>
        </w:rPr>
      </w:pPr>
    </w:p>
    <w:p w14:paraId="3C54661E" w14:textId="34C3006F" w:rsidR="003D5865" w:rsidRPr="00AB6A89" w:rsidRDefault="0085721A" w:rsidP="008B0C58">
      <w:pPr>
        <w:pStyle w:val="Default"/>
        <w:ind w:left="720" w:hanging="720"/>
        <w:rPr>
          <w:rFonts w:ascii="Verdana" w:hAnsi="Verdana"/>
          <w:sz w:val="22"/>
          <w:szCs w:val="22"/>
        </w:rPr>
      </w:pPr>
      <w:r w:rsidRPr="00066D84">
        <w:rPr>
          <w:rFonts w:ascii="Verdana" w:hAnsi="Verdana"/>
          <w:sz w:val="22"/>
          <w:szCs w:val="22"/>
        </w:rPr>
        <w:t>4.4</w:t>
      </w:r>
      <w:r w:rsidRPr="0085721A">
        <w:t xml:space="preserve"> </w:t>
      </w:r>
      <w:r w:rsidR="00015BA5">
        <w:tab/>
      </w:r>
      <w:r w:rsidR="008C4A28" w:rsidRPr="004261BB">
        <w:rPr>
          <w:rFonts w:ascii="Verdana" w:hAnsi="Verdana"/>
          <w:sz w:val="22"/>
          <w:szCs w:val="22"/>
        </w:rPr>
        <w:t>The submitted FWNP is a concise document of 59 pages, including six appendices.  The Introduction, in section 1, explains how the process of plan preparation began, what is the strategic context for the Plan (in terms of the London Pl</w:t>
      </w:r>
      <w:r w:rsidR="004261BB" w:rsidRPr="004261BB">
        <w:rPr>
          <w:rFonts w:ascii="Verdana" w:hAnsi="Verdana"/>
          <w:sz w:val="22"/>
          <w:szCs w:val="22"/>
        </w:rPr>
        <w:t>a</w:t>
      </w:r>
      <w:r w:rsidR="008C4A28" w:rsidRPr="004261BB">
        <w:rPr>
          <w:rFonts w:ascii="Verdana" w:hAnsi="Verdana"/>
          <w:sz w:val="22"/>
          <w:szCs w:val="22"/>
        </w:rPr>
        <w:t xml:space="preserve">n, Westminster City Plan </w:t>
      </w:r>
      <w:r w:rsidR="004261BB" w:rsidRPr="004261BB">
        <w:rPr>
          <w:rFonts w:ascii="Verdana" w:hAnsi="Verdana"/>
          <w:sz w:val="22"/>
          <w:szCs w:val="22"/>
        </w:rPr>
        <w:t xml:space="preserve">and NPPF), and how public consultation has been </w:t>
      </w:r>
      <w:r w:rsidR="00443487">
        <w:rPr>
          <w:rFonts w:ascii="Verdana" w:hAnsi="Verdana"/>
          <w:sz w:val="22"/>
          <w:szCs w:val="22"/>
        </w:rPr>
        <w:t xml:space="preserve">important </w:t>
      </w:r>
      <w:r w:rsidR="004261BB" w:rsidRPr="004261BB">
        <w:rPr>
          <w:rFonts w:ascii="Verdana" w:hAnsi="Verdana"/>
          <w:sz w:val="22"/>
          <w:szCs w:val="22"/>
        </w:rPr>
        <w:t xml:space="preserve">to </w:t>
      </w:r>
      <w:r w:rsidR="00443487">
        <w:rPr>
          <w:rFonts w:ascii="Verdana" w:hAnsi="Verdana"/>
          <w:sz w:val="22"/>
          <w:szCs w:val="22"/>
        </w:rPr>
        <w:t xml:space="preserve">the </w:t>
      </w:r>
      <w:r w:rsidR="00010EC7">
        <w:rPr>
          <w:rFonts w:ascii="Verdana" w:hAnsi="Verdana"/>
          <w:sz w:val="22"/>
          <w:szCs w:val="22"/>
        </w:rPr>
        <w:t xml:space="preserve">production of </w:t>
      </w:r>
      <w:r w:rsidR="004261BB" w:rsidRPr="004261BB">
        <w:rPr>
          <w:rFonts w:ascii="Verdana" w:hAnsi="Verdana"/>
          <w:sz w:val="22"/>
          <w:szCs w:val="22"/>
        </w:rPr>
        <w:t xml:space="preserve">the FWNP.  </w:t>
      </w:r>
      <w:r w:rsidR="00443487">
        <w:rPr>
          <w:rFonts w:ascii="Verdana" w:hAnsi="Verdana"/>
          <w:sz w:val="22"/>
          <w:szCs w:val="22"/>
        </w:rPr>
        <w:t>S</w:t>
      </w:r>
      <w:r w:rsidR="004261BB" w:rsidRPr="004261BB">
        <w:rPr>
          <w:rFonts w:ascii="Verdana" w:hAnsi="Verdana"/>
          <w:sz w:val="22"/>
          <w:szCs w:val="22"/>
        </w:rPr>
        <w:t>ection</w:t>
      </w:r>
      <w:r w:rsidR="00A84321">
        <w:rPr>
          <w:rFonts w:ascii="Verdana" w:hAnsi="Verdana"/>
          <w:sz w:val="22"/>
          <w:szCs w:val="22"/>
        </w:rPr>
        <w:t>s</w:t>
      </w:r>
      <w:r w:rsidR="00443487">
        <w:rPr>
          <w:rFonts w:ascii="Verdana" w:hAnsi="Verdana"/>
          <w:sz w:val="22"/>
          <w:szCs w:val="22"/>
        </w:rPr>
        <w:t xml:space="preserve"> 1 and</w:t>
      </w:r>
      <w:r w:rsidR="004261BB" w:rsidRPr="004261BB">
        <w:rPr>
          <w:rFonts w:ascii="Verdana" w:hAnsi="Verdana"/>
          <w:sz w:val="22"/>
          <w:szCs w:val="22"/>
        </w:rPr>
        <w:t xml:space="preserve"> 2</w:t>
      </w:r>
      <w:r w:rsidR="005B3D6D">
        <w:rPr>
          <w:rFonts w:ascii="Verdana" w:hAnsi="Verdana"/>
          <w:sz w:val="22"/>
          <w:szCs w:val="22"/>
        </w:rPr>
        <w:t>, which</w:t>
      </w:r>
      <w:r w:rsidR="004261BB" w:rsidRPr="004261BB">
        <w:rPr>
          <w:rFonts w:ascii="Verdana" w:hAnsi="Verdana"/>
          <w:sz w:val="22"/>
          <w:szCs w:val="22"/>
        </w:rPr>
        <w:t xml:space="preserve"> describe the neighbourhood, its history</w:t>
      </w:r>
      <w:r w:rsidR="008806D3">
        <w:rPr>
          <w:rFonts w:ascii="Verdana" w:hAnsi="Verdana"/>
          <w:sz w:val="22"/>
          <w:szCs w:val="22"/>
        </w:rPr>
        <w:t xml:space="preserve">, </w:t>
      </w:r>
      <w:r w:rsidR="004261BB" w:rsidRPr="004261BB">
        <w:rPr>
          <w:rFonts w:ascii="Verdana" w:hAnsi="Verdana"/>
          <w:sz w:val="22"/>
          <w:szCs w:val="22"/>
        </w:rPr>
        <w:t>heritage and present community</w:t>
      </w:r>
      <w:r w:rsidR="005B3D6D">
        <w:rPr>
          <w:rFonts w:ascii="Verdana" w:hAnsi="Verdana"/>
          <w:sz w:val="22"/>
          <w:szCs w:val="22"/>
        </w:rPr>
        <w:t>,</w:t>
      </w:r>
      <w:r w:rsidR="005B3D6D" w:rsidRPr="005B3D6D">
        <w:rPr>
          <w:rFonts w:ascii="Verdana" w:hAnsi="Verdana"/>
          <w:sz w:val="22"/>
          <w:szCs w:val="22"/>
        </w:rPr>
        <w:t xml:space="preserve"> </w:t>
      </w:r>
      <w:r w:rsidR="005B3D6D">
        <w:rPr>
          <w:rFonts w:ascii="Verdana" w:hAnsi="Verdana"/>
          <w:sz w:val="22"/>
          <w:szCs w:val="22"/>
        </w:rPr>
        <w:t>provide a helpful and engaging start for readers</w:t>
      </w:r>
      <w:r w:rsidR="004261BB" w:rsidRPr="004261BB">
        <w:rPr>
          <w:rFonts w:ascii="Verdana" w:hAnsi="Verdana"/>
          <w:sz w:val="22"/>
          <w:szCs w:val="22"/>
        </w:rPr>
        <w:t xml:space="preserve">.  Section 3 moves on to consider the planning context in Fitzrovia West. </w:t>
      </w:r>
      <w:r w:rsidR="008C4A28" w:rsidRPr="004261BB">
        <w:rPr>
          <w:rFonts w:ascii="Verdana" w:hAnsi="Verdana"/>
          <w:sz w:val="22"/>
          <w:szCs w:val="22"/>
        </w:rPr>
        <w:t xml:space="preserve"> </w:t>
      </w:r>
      <w:r w:rsidR="004261BB">
        <w:rPr>
          <w:rFonts w:ascii="Verdana" w:hAnsi="Verdana"/>
          <w:color w:val="auto"/>
          <w:sz w:val="22"/>
          <w:szCs w:val="22"/>
        </w:rPr>
        <w:t>A</w:t>
      </w:r>
      <w:r w:rsidR="006F4650">
        <w:rPr>
          <w:rFonts w:ascii="Verdana" w:hAnsi="Verdana"/>
          <w:color w:val="auto"/>
          <w:sz w:val="22"/>
          <w:szCs w:val="22"/>
        </w:rPr>
        <w:t>ll</w:t>
      </w:r>
      <w:r w:rsidR="004261BB">
        <w:rPr>
          <w:rFonts w:ascii="Verdana" w:hAnsi="Verdana"/>
          <w:color w:val="auto"/>
          <w:sz w:val="22"/>
          <w:szCs w:val="22"/>
        </w:rPr>
        <w:t xml:space="preserve"> Fitzrovia West is </w:t>
      </w:r>
      <w:r w:rsidR="006F4650">
        <w:rPr>
          <w:rFonts w:ascii="Verdana" w:hAnsi="Verdana"/>
          <w:color w:val="auto"/>
          <w:sz w:val="22"/>
          <w:szCs w:val="22"/>
        </w:rPr>
        <w:t xml:space="preserve">located </w:t>
      </w:r>
      <w:r w:rsidR="004261BB">
        <w:rPr>
          <w:rFonts w:ascii="Verdana" w:hAnsi="Verdana"/>
          <w:color w:val="auto"/>
          <w:sz w:val="22"/>
          <w:szCs w:val="22"/>
        </w:rPr>
        <w:t>within th</w:t>
      </w:r>
      <w:r w:rsidR="00DC2A17">
        <w:rPr>
          <w:rFonts w:ascii="Verdana" w:hAnsi="Verdana"/>
          <w:color w:val="auto"/>
          <w:sz w:val="22"/>
          <w:szCs w:val="22"/>
        </w:rPr>
        <w:t>e London CAZ</w:t>
      </w:r>
      <w:r w:rsidR="004261BB">
        <w:rPr>
          <w:rFonts w:ascii="Verdana" w:hAnsi="Verdana"/>
          <w:color w:val="auto"/>
          <w:sz w:val="22"/>
          <w:szCs w:val="22"/>
        </w:rPr>
        <w:t>, and</w:t>
      </w:r>
      <w:r w:rsidR="006F4650">
        <w:rPr>
          <w:rFonts w:ascii="Verdana" w:hAnsi="Verdana"/>
          <w:color w:val="auto"/>
          <w:sz w:val="22"/>
          <w:szCs w:val="22"/>
        </w:rPr>
        <w:t xml:space="preserve"> the Forum accepted that paragraph 3.1 should be modified to make this clear.  </w:t>
      </w:r>
      <w:r w:rsidR="00820D93">
        <w:rPr>
          <w:rFonts w:ascii="Verdana" w:hAnsi="Verdana"/>
          <w:b/>
          <w:color w:val="auto"/>
          <w:sz w:val="22"/>
          <w:szCs w:val="22"/>
        </w:rPr>
        <w:t>PM2</w:t>
      </w:r>
      <w:r w:rsidR="00512591">
        <w:rPr>
          <w:rFonts w:ascii="Verdana" w:hAnsi="Verdana"/>
          <w:b/>
          <w:color w:val="auto"/>
          <w:sz w:val="22"/>
          <w:szCs w:val="22"/>
        </w:rPr>
        <w:t xml:space="preserve"> </w:t>
      </w:r>
      <w:r w:rsidR="00820D93">
        <w:rPr>
          <w:rFonts w:ascii="Verdana" w:hAnsi="Verdana"/>
          <w:color w:val="auto"/>
          <w:sz w:val="22"/>
          <w:szCs w:val="22"/>
        </w:rPr>
        <w:t xml:space="preserve">should be made so that the FWNP </w:t>
      </w:r>
      <w:r w:rsidR="00F221AA">
        <w:rPr>
          <w:rFonts w:ascii="Verdana" w:hAnsi="Verdana"/>
          <w:color w:val="auto"/>
          <w:sz w:val="22"/>
          <w:szCs w:val="22"/>
        </w:rPr>
        <w:t>reflects the wider</w:t>
      </w:r>
      <w:r w:rsidR="00820D93">
        <w:rPr>
          <w:rFonts w:ascii="Verdana" w:hAnsi="Verdana"/>
          <w:color w:val="auto"/>
          <w:sz w:val="22"/>
          <w:szCs w:val="22"/>
        </w:rPr>
        <w:t xml:space="preserve"> strategic plan</w:t>
      </w:r>
      <w:r w:rsidR="00F221AA">
        <w:rPr>
          <w:rFonts w:ascii="Verdana" w:hAnsi="Verdana"/>
          <w:color w:val="auto"/>
          <w:sz w:val="22"/>
          <w:szCs w:val="22"/>
        </w:rPr>
        <w:t>ning context</w:t>
      </w:r>
      <w:r w:rsidR="00820D93">
        <w:rPr>
          <w:rFonts w:ascii="Verdana" w:hAnsi="Verdana"/>
          <w:color w:val="auto"/>
          <w:sz w:val="22"/>
          <w:szCs w:val="22"/>
        </w:rPr>
        <w:t xml:space="preserve">.  </w:t>
      </w:r>
    </w:p>
    <w:p w14:paraId="0CDE5728" w14:textId="77777777" w:rsidR="003D5865" w:rsidRDefault="003D5865" w:rsidP="008B0C58">
      <w:pPr>
        <w:pStyle w:val="Default"/>
        <w:ind w:left="426" w:hanging="426"/>
        <w:rPr>
          <w:rFonts w:ascii="Verdana" w:hAnsi="Verdana"/>
          <w:color w:val="auto"/>
          <w:sz w:val="22"/>
          <w:szCs w:val="22"/>
        </w:rPr>
      </w:pPr>
    </w:p>
    <w:p w14:paraId="48C24D3B" w14:textId="37F46A42" w:rsidR="00BE2164" w:rsidRDefault="003D5865" w:rsidP="008B0C58">
      <w:pPr>
        <w:pStyle w:val="Default"/>
        <w:ind w:left="720" w:hanging="720"/>
        <w:rPr>
          <w:rFonts w:ascii="Verdana" w:hAnsi="Verdana"/>
          <w:color w:val="auto"/>
          <w:sz w:val="22"/>
          <w:szCs w:val="22"/>
        </w:rPr>
      </w:pPr>
      <w:r>
        <w:rPr>
          <w:rFonts w:ascii="Verdana" w:hAnsi="Verdana"/>
          <w:color w:val="auto"/>
          <w:sz w:val="22"/>
          <w:szCs w:val="22"/>
        </w:rPr>
        <w:t>4.</w:t>
      </w:r>
      <w:r w:rsidR="00AB6A89">
        <w:rPr>
          <w:rFonts w:ascii="Verdana" w:hAnsi="Verdana"/>
          <w:color w:val="auto"/>
          <w:sz w:val="22"/>
          <w:szCs w:val="22"/>
        </w:rPr>
        <w:t>5</w:t>
      </w:r>
      <w:r>
        <w:rPr>
          <w:rFonts w:ascii="Verdana" w:hAnsi="Verdana"/>
          <w:color w:val="auto"/>
          <w:sz w:val="22"/>
          <w:szCs w:val="22"/>
        </w:rPr>
        <w:t xml:space="preserve"> </w:t>
      </w:r>
      <w:r w:rsidR="00015BA5">
        <w:rPr>
          <w:rFonts w:ascii="Verdana" w:hAnsi="Verdana"/>
          <w:color w:val="auto"/>
          <w:sz w:val="22"/>
          <w:szCs w:val="22"/>
        </w:rPr>
        <w:tab/>
      </w:r>
      <w:r w:rsidR="006F4650">
        <w:rPr>
          <w:rFonts w:ascii="Verdana" w:hAnsi="Verdana"/>
          <w:color w:val="auto"/>
          <w:sz w:val="22"/>
          <w:szCs w:val="22"/>
        </w:rPr>
        <w:t>T</w:t>
      </w:r>
      <w:r w:rsidR="004261BB">
        <w:rPr>
          <w:rFonts w:ascii="Verdana" w:hAnsi="Verdana"/>
          <w:color w:val="auto"/>
          <w:sz w:val="22"/>
          <w:szCs w:val="22"/>
        </w:rPr>
        <w:t xml:space="preserve">he Plan </w:t>
      </w:r>
      <w:r w:rsidR="006F4650">
        <w:rPr>
          <w:rFonts w:ascii="Verdana" w:hAnsi="Verdana"/>
          <w:color w:val="auto"/>
          <w:sz w:val="22"/>
          <w:szCs w:val="22"/>
        </w:rPr>
        <w:t>goes on to inform</w:t>
      </w:r>
      <w:r w:rsidR="004261BB">
        <w:rPr>
          <w:rFonts w:ascii="Verdana" w:hAnsi="Verdana"/>
          <w:color w:val="auto"/>
          <w:sz w:val="22"/>
          <w:szCs w:val="22"/>
        </w:rPr>
        <w:t xml:space="preserve"> that there is continuous pressure for development, notably for refurbishment or redevelopment to provide high-value residential accommodation or large office units.  The increase in</w:t>
      </w:r>
      <w:r w:rsidR="00325C99">
        <w:rPr>
          <w:rFonts w:ascii="Verdana" w:hAnsi="Verdana"/>
          <w:color w:val="auto"/>
          <w:sz w:val="22"/>
          <w:szCs w:val="22"/>
        </w:rPr>
        <w:t xml:space="preserve"> recent years in</w:t>
      </w:r>
      <w:r w:rsidR="004261BB">
        <w:rPr>
          <w:rFonts w:ascii="Verdana" w:hAnsi="Verdana"/>
          <w:color w:val="auto"/>
          <w:sz w:val="22"/>
          <w:szCs w:val="22"/>
        </w:rPr>
        <w:t xml:space="preserve"> international tourism has fostered increased demand for hotel accommodation, as well as larger retail units and the conversion of small shops to restaurants or cafes.  Introduction of the Elizabeth Line, currently underway, is expected to increase passenger numbers at Bond Street and Tottenham Court Road stations significantly.  Poor air quality and increased transport movements, as well as a shortage of affordable housing, are identified as major</w:t>
      </w:r>
      <w:r w:rsidR="00DC2A17">
        <w:rPr>
          <w:rFonts w:ascii="Verdana" w:hAnsi="Verdana"/>
          <w:color w:val="auto"/>
          <w:sz w:val="22"/>
          <w:szCs w:val="22"/>
        </w:rPr>
        <w:t xml:space="preserve"> </w:t>
      </w:r>
      <w:r w:rsidR="004261BB">
        <w:rPr>
          <w:rFonts w:ascii="Verdana" w:hAnsi="Verdana"/>
          <w:color w:val="auto"/>
          <w:sz w:val="22"/>
          <w:szCs w:val="22"/>
        </w:rPr>
        <w:t xml:space="preserve">concerns for the </w:t>
      </w:r>
      <w:r w:rsidR="00010EC7">
        <w:rPr>
          <w:rFonts w:ascii="Verdana" w:hAnsi="Verdana"/>
          <w:color w:val="auto"/>
          <w:sz w:val="22"/>
          <w:szCs w:val="22"/>
        </w:rPr>
        <w:t xml:space="preserve">wider Fitzrovia West </w:t>
      </w:r>
      <w:r w:rsidR="004261BB">
        <w:rPr>
          <w:rFonts w:ascii="Verdana" w:hAnsi="Verdana"/>
          <w:color w:val="auto"/>
          <w:sz w:val="22"/>
          <w:szCs w:val="22"/>
        </w:rPr>
        <w:t xml:space="preserve">area.  </w:t>
      </w:r>
    </w:p>
    <w:p w14:paraId="6119B702" w14:textId="77777777" w:rsidR="00BE2164" w:rsidRDefault="00BE2164" w:rsidP="008B0C58">
      <w:pPr>
        <w:pStyle w:val="Default"/>
        <w:ind w:left="426" w:hanging="426"/>
        <w:rPr>
          <w:rFonts w:ascii="Verdana" w:hAnsi="Verdana"/>
          <w:color w:val="auto"/>
          <w:sz w:val="22"/>
          <w:szCs w:val="22"/>
        </w:rPr>
      </w:pPr>
    </w:p>
    <w:p w14:paraId="328EBB1E" w14:textId="4ADDF19E" w:rsidR="00B917BC" w:rsidRDefault="00BE2164" w:rsidP="008B0C58">
      <w:pPr>
        <w:pStyle w:val="Default"/>
        <w:ind w:left="720" w:hanging="720"/>
        <w:rPr>
          <w:rFonts w:ascii="Verdana" w:hAnsi="Verdana"/>
          <w:color w:val="auto"/>
          <w:sz w:val="22"/>
          <w:szCs w:val="22"/>
        </w:rPr>
      </w:pPr>
      <w:r>
        <w:rPr>
          <w:rFonts w:ascii="Verdana" w:hAnsi="Verdana"/>
          <w:color w:val="auto"/>
          <w:sz w:val="22"/>
          <w:szCs w:val="22"/>
        </w:rPr>
        <w:t xml:space="preserve">4.6 </w:t>
      </w:r>
      <w:r w:rsidR="00015BA5">
        <w:rPr>
          <w:rFonts w:ascii="Verdana" w:hAnsi="Verdana"/>
          <w:color w:val="auto"/>
          <w:sz w:val="22"/>
          <w:szCs w:val="22"/>
        </w:rPr>
        <w:tab/>
      </w:r>
      <w:r>
        <w:rPr>
          <w:rFonts w:ascii="Verdana" w:hAnsi="Verdana"/>
          <w:color w:val="auto"/>
          <w:sz w:val="22"/>
          <w:szCs w:val="22"/>
        </w:rPr>
        <w:t xml:space="preserve">A response to the Regulation 16 response </w:t>
      </w:r>
      <w:r w:rsidR="0059168C">
        <w:rPr>
          <w:rFonts w:ascii="Verdana" w:hAnsi="Verdana"/>
          <w:color w:val="auto"/>
          <w:sz w:val="22"/>
          <w:szCs w:val="22"/>
        </w:rPr>
        <w:t xml:space="preserve">stated that </w:t>
      </w:r>
      <w:r w:rsidR="0050751A">
        <w:rPr>
          <w:rFonts w:ascii="Verdana" w:hAnsi="Verdana"/>
          <w:color w:val="auto"/>
          <w:sz w:val="22"/>
          <w:szCs w:val="22"/>
        </w:rPr>
        <w:t>C</w:t>
      </w:r>
      <w:r w:rsidR="0059168C">
        <w:rPr>
          <w:rFonts w:ascii="Verdana" w:hAnsi="Verdana"/>
          <w:color w:val="auto"/>
          <w:sz w:val="22"/>
          <w:szCs w:val="22"/>
        </w:rPr>
        <w:t>ovid-19 represented a rare opportunity to open a window on new possibilities for the area.  These could include more small scale projects to build a diverse and attractive neighbourhood</w:t>
      </w:r>
      <w:r w:rsidR="00C50E31">
        <w:rPr>
          <w:rFonts w:ascii="Verdana" w:hAnsi="Verdana"/>
          <w:color w:val="auto"/>
          <w:sz w:val="22"/>
          <w:szCs w:val="22"/>
        </w:rPr>
        <w:t>,</w:t>
      </w:r>
      <w:r w:rsidR="0059168C">
        <w:rPr>
          <w:rFonts w:ascii="Verdana" w:hAnsi="Verdana"/>
          <w:color w:val="auto"/>
          <w:sz w:val="22"/>
          <w:szCs w:val="22"/>
        </w:rPr>
        <w:t xml:space="preserve"> to restrict through traffic more, create a cycle sensitive environment with better cycle parking and storage provision, </w:t>
      </w:r>
      <w:r w:rsidR="00D2097E">
        <w:rPr>
          <w:rFonts w:ascii="Verdana" w:hAnsi="Verdana"/>
          <w:color w:val="auto"/>
          <w:sz w:val="22"/>
          <w:szCs w:val="22"/>
        </w:rPr>
        <w:t xml:space="preserve">add </w:t>
      </w:r>
      <w:r w:rsidR="0059168C">
        <w:rPr>
          <w:rFonts w:ascii="Verdana" w:hAnsi="Verdana"/>
          <w:color w:val="auto"/>
          <w:sz w:val="22"/>
          <w:szCs w:val="22"/>
        </w:rPr>
        <w:t>more pop-up flower gardens and small green areas.  Clearly, this represents just one vision for the area.  However, t</w:t>
      </w:r>
      <w:r w:rsidR="003D5865">
        <w:rPr>
          <w:rFonts w:ascii="Verdana" w:hAnsi="Verdana"/>
          <w:color w:val="auto"/>
          <w:sz w:val="22"/>
          <w:szCs w:val="22"/>
        </w:rPr>
        <w:t xml:space="preserve">he </w:t>
      </w:r>
      <w:r w:rsidR="00EA3D12">
        <w:rPr>
          <w:rFonts w:ascii="Verdana" w:hAnsi="Verdana"/>
          <w:color w:val="auto"/>
          <w:sz w:val="22"/>
          <w:szCs w:val="22"/>
        </w:rPr>
        <w:t>SOCG between the Forum and WCC</w:t>
      </w:r>
      <w:r w:rsidR="003D5865">
        <w:rPr>
          <w:rFonts w:ascii="Verdana" w:hAnsi="Verdana"/>
          <w:color w:val="auto"/>
          <w:sz w:val="22"/>
          <w:szCs w:val="22"/>
        </w:rPr>
        <w:t xml:space="preserve"> proposed a new paragraph 3.5 to refer to the </w:t>
      </w:r>
      <w:r w:rsidR="0059168C">
        <w:rPr>
          <w:rFonts w:ascii="Verdana" w:hAnsi="Verdana"/>
          <w:color w:val="auto"/>
          <w:sz w:val="22"/>
          <w:szCs w:val="22"/>
        </w:rPr>
        <w:t xml:space="preserve">likely </w:t>
      </w:r>
      <w:r w:rsidR="003D5865">
        <w:rPr>
          <w:rFonts w:ascii="Verdana" w:hAnsi="Verdana"/>
          <w:color w:val="auto"/>
          <w:sz w:val="22"/>
          <w:szCs w:val="22"/>
        </w:rPr>
        <w:t xml:space="preserve">impact of the </w:t>
      </w:r>
      <w:r w:rsidR="0050751A">
        <w:rPr>
          <w:rFonts w:ascii="Verdana" w:hAnsi="Verdana"/>
          <w:color w:val="auto"/>
          <w:sz w:val="22"/>
          <w:szCs w:val="22"/>
        </w:rPr>
        <w:t>C</w:t>
      </w:r>
      <w:r w:rsidR="003D5865">
        <w:rPr>
          <w:rFonts w:ascii="Verdana" w:hAnsi="Verdana"/>
          <w:color w:val="auto"/>
          <w:sz w:val="22"/>
          <w:szCs w:val="22"/>
        </w:rPr>
        <w:t xml:space="preserve">ovid-19 pandemic on retail and hospitality uses, with reduced numbers of </w:t>
      </w:r>
      <w:r w:rsidR="00767CEC">
        <w:rPr>
          <w:rFonts w:ascii="Verdana" w:hAnsi="Verdana"/>
          <w:color w:val="auto"/>
          <w:sz w:val="22"/>
          <w:szCs w:val="22"/>
        </w:rPr>
        <w:t xml:space="preserve">tourists and commuters in Fitzrovia West.  It predicts that a large amount of commercial floorspace may remain vacant for some time.  I have no reason to disagree with this position </w:t>
      </w:r>
      <w:r w:rsidR="00443487">
        <w:rPr>
          <w:rFonts w:ascii="Verdana" w:hAnsi="Verdana"/>
          <w:color w:val="auto"/>
          <w:sz w:val="22"/>
          <w:szCs w:val="22"/>
        </w:rPr>
        <w:t>and</w:t>
      </w:r>
      <w:r w:rsidR="00767CEC">
        <w:rPr>
          <w:rFonts w:ascii="Verdana" w:hAnsi="Verdana"/>
          <w:color w:val="auto"/>
          <w:sz w:val="22"/>
          <w:szCs w:val="22"/>
        </w:rPr>
        <w:t xml:space="preserve"> </w:t>
      </w:r>
      <w:r w:rsidR="00443487">
        <w:rPr>
          <w:rFonts w:ascii="Verdana" w:hAnsi="Verdana"/>
          <w:color w:val="auto"/>
          <w:sz w:val="22"/>
          <w:szCs w:val="22"/>
        </w:rPr>
        <w:t>recognise</w:t>
      </w:r>
      <w:r w:rsidR="00767CEC">
        <w:rPr>
          <w:rFonts w:ascii="Verdana" w:hAnsi="Verdana"/>
          <w:color w:val="auto"/>
          <w:sz w:val="22"/>
          <w:szCs w:val="22"/>
        </w:rPr>
        <w:t xml:space="preserve"> that </w:t>
      </w:r>
      <w:r w:rsidR="00443487">
        <w:rPr>
          <w:rFonts w:ascii="Verdana" w:hAnsi="Verdana"/>
          <w:color w:val="auto"/>
          <w:sz w:val="22"/>
          <w:szCs w:val="22"/>
        </w:rPr>
        <w:t>the pandemic will have hitherto unforeseen effects on the economy</w:t>
      </w:r>
      <w:r w:rsidR="0059168C">
        <w:rPr>
          <w:rFonts w:ascii="Verdana" w:hAnsi="Verdana"/>
          <w:color w:val="auto"/>
          <w:sz w:val="22"/>
          <w:szCs w:val="22"/>
        </w:rPr>
        <w:t xml:space="preserve"> and built environment</w:t>
      </w:r>
      <w:r w:rsidR="00767CEC">
        <w:rPr>
          <w:rFonts w:ascii="Verdana" w:hAnsi="Verdana"/>
          <w:color w:val="auto"/>
          <w:sz w:val="22"/>
          <w:szCs w:val="22"/>
        </w:rPr>
        <w:t xml:space="preserve">.  It would be helpful if the proposed new paragraph 3.5 acknowledged this situation.  </w:t>
      </w:r>
      <w:r w:rsidR="00767CEC">
        <w:rPr>
          <w:rFonts w:ascii="Verdana" w:hAnsi="Verdana"/>
          <w:b/>
          <w:color w:val="auto"/>
          <w:sz w:val="22"/>
          <w:szCs w:val="22"/>
        </w:rPr>
        <w:t>PM3</w:t>
      </w:r>
      <w:r w:rsidR="00767CEC" w:rsidRPr="008806D3">
        <w:rPr>
          <w:rFonts w:ascii="Verdana" w:hAnsi="Verdana"/>
          <w:bCs/>
          <w:color w:val="auto"/>
          <w:sz w:val="22"/>
          <w:szCs w:val="22"/>
        </w:rPr>
        <w:t>,</w:t>
      </w:r>
      <w:r w:rsidR="00767CEC">
        <w:rPr>
          <w:rFonts w:ascii="Verdana" w:hAnsi="Verdana"/>
          <w:b/>
          <w:color w:val="auto"/>
          <w:sz w:val="22"/>
          <w:szCs w:val="22"/>
        </w:rPr>
        <w:t xml:space="preserve"> </w:t>
      </w:r>
      <w:r w:rsidR="00767CEC">
        <w:rPr>
          <w:rFonts w:ascii="Verdana" w:hAnsi="Verdana"/>
          <w:color w:val="auto"/>
          <w:sz w:val="22"/>
          <w:szCs w:val="22"/>
        </w:rPr>
        <w:t>to add a new paragraph 3.5</w:t>
      </w:r>
      <w:r w:rsidR="00D2097E">
        <w:rPr>
          <w:rFonts w:ascii="Verdana" w:hAnsi="Verdana"/>
          <w:color w:val="auto"/>
          <w:sz w:val="22"/>
          <w:szCs w:val="22"/>
        </w:rPr>
        <w:t xml:space="preserve"> about the likely future effects of </w:t>
      </w:r>
      <w:r w:rsidR="0050751A">
        <w:rPr>
          <w:rFonts w:ascii="Verdana" w:hAnsi="Verdana"/>
          <w:color w:val="auto"/>
          <w:sz w:val="22"/>
          <w:szCs w:val="22"/>
        </w:rPr>
        <w:t>C</w:t>
      </w:r>
      <w:r w:rsidR="00D2097E">
        <w:rPr>
          <w:rFonts w:ascii="Verdana" w:hAnsi="Verdana"/>
          <w:color w:val="auto"/>
          <w:sz w:val="22"/>
          <w:szCs w:val="22"/>
        </w:rPr>
        <w:t>ovid-19</w:t>
      </w:r>
      <w:r w:rsidR="00767CEC">
        <w:rPr>
          <w:rFonts w:ascii="Verdana" w:hAnsi="Verdana"/>
          <w:color w:val="auto"/>
          <w:sz w:val="22"/>
          <w:szCs w:val="22"/>
        </w:rPr>
        <w:t xml:space="preserve">, should be made to contribute to the achievement of sustainable development.   </w:t>
      </w:r>
    </w:p>
    <w:p w14:paraId="28AD3D40" w14:textId="77777777" w:rsidR="00B917BC" w:rsidRDefault="00B917BC" w:rsidP="008B0C58">
      <w:pPr>
        <w:pStyle w:val="Default"/>
        <w:ind w:left="426" w:hanging="426"/>
        <w:rPr>
          <w:rFonts w:ascii="Verdana" w:hAnsi="Verdana"/>
          <w:color w:val="auto"/>
          <w:sz w:val="22"/>
          <w:szCs w:val="22"/>
        </w:rPr>
      </w:pPr>
    </w:p>
    <w:p w14:paraId="19138171" w14:textId="5AA78C12" w:rsidR="004261BB" w:rsidRDefault="00767CEC" w:rsidP="008B0C58">
      <w:pPr>
        <w:pStyle w:val="Default"/>
        <w:ind w:left="720" w:hanging="720"/>
        <w:rPr>
          <w:rFonts w:ascii="Verdana" w:hAnsi="Verdana"/>
          <w:color w:val="auto"/>
          <w:sz w:val="22"/>
          <w:szCs w:val="22"/>
        </w:rPr>
      </w:pPr>
      <w:r>
        <w:rPr>
          <w:rFonts w:ascii="Verdana" w:hAnsi="Verdana"/>
          <w:color w:val="auto"/>
          <w:sz w:val="22"/>
          <w:szCs w:val="22"/>
        </w:rPr>
        <w:t>4.</w:t>
      </w:r>
      <w:r w:rsidR="0059168C">
        <w:rPr>
          <w:rFonts w:ascii="Verdana" w:hAnsi="Verdana"/>
          <w:color w:val="auto"/>
          <w:sz w:val="22"/>
          <w:szCs w:val="22"/>
        </w:rPr>
        <w:t>7</w:t>
      </w:r>
      <w:r w:rsidR="00B917BC">
        <w:rPr>
          <w:rFonts w:ascii="Verdana" w:hAnsi="Verdana"/>
          <w:color w:val="auto"/>
          <w:sz w:val="22"/>
          <w:szCs w:val="22"/>
        </w:rPr>
        <w:t xml:space="preserve"> </w:t>
      </w:r>
      <w:r w:rsidR="00015BA5">
        <w:rPr>
          <w:rFonts w:ascii="Verdana" w:hAnsi="Verdana"/>
          <w:color w:val="auto"/>
          <w:sz w:val="22"/>
          <w:szCs w:val="22"/>
        </w:rPr>
        <w:tab/>
      </w:r>
      <w:r>
        <w:rPr>
          <w:rFonts w:ascii="Verdana" w:hAnsi="Verdana"/>
          <w:color w:val="auto"/>
          <w:sz w:val="22"/>
          <w:szCs w:val="22"/>
        </w:rPr>
        <w:t>The existing p</w:t>
      </w:r>
      <w:r w:rsidR="00B917BC">
        <w:rPr>
          <w:rFonts w:ascii="Verdana" w:hAnsi="Verdana"/>
          <w:color w:val="auto"/>
          <w:sz w:val="22"/>
          <w:szCs w:val="22"/>
        </w:rPr>
        <w:t xml:space="preserve">aragraph 3.5 </w:t>
      </w:r>
      <w:r w:rsidR="0087643E">
        <w:rPr>
          <w:rFonts w:ascii="Verdana" w:hAnsi="Verdana"/>
          <w:color w:val="auto"/>
          <w:sz w:val="22"/>
          <w:szCs w:val="22"/>
        </w:rPr>
        <w:t xml:space="preserve">(to be renumbered) </w:t>
      </w:r>
      <w:r w:rsidR="00B917BC">
        <w:rPr>
          <w:rFonts w:ascii="Verdana" w:hAnsi="Verdana"/>
          <w:color w:val="auto"/>
          <w:sz w:val="22"/>
          <w:szCs w:val="22"/>
        </w:rPr>
        <w:t xml:space="preserve">explains that section 4 sets out a vision for the Plan and five objectives, each of which </w:t>
      </w:r>
      <w:r w:rsidR="00AB6A89">
        <w:rPr>
          <w:rFonts w:ascii="Verdana" w:hAnsi="Verdana"/>
          <w:color w:val="auto"/>
          <w:sz w:val="22"/>
          <w:szCs w:val="22"/>
        </w:rPr>
        <w:t>will be</w:t>
      </w:r>
      <w:r w:rsidR="00B917BC">
        <w:rPr>
          <w:rFonts w:ascii="Verdana" w:hAnsi="Verdana"/>
          <w:color w:val="auto"/>
          <w:sz w:val="22"/>
          <w:szCs w:val="22"/>
        </w:rPr>
        <w:t xml:space="preserve"> examined in detail in sections 5-9 inclusive.  </w:t>
      </w:r>
      <w:r w:rsidR="00010EC7">
        <w:rPr>
          <w:rFonts w:ascii="Verdana" w:hAnsi="Verdana"/>
          <w:color w:val="auto"/>
          <w:sz w:val="22"/>
          <w:szCs w:val="22"/>
        </w:rPr>
        <w:t>This</w:t>
      </w:r>
      <w:r w:rsidR="00B917BC">
        <w:rPr>
          <w:rFonts w:ascii="Verdana" w:hAnsi="Verdana"/>
          <w:color w:val="auto"/>
          <w:sz w:val="22"/>
          <w:szCs w:val="22"/>
        </w:rPr>
        <w:t>, in my opinion,</w:t>
      </w:r>
      <w:r w:rsidR="00010EC7">
        <w:rPr>
          <w:rFonts w:ascii="Verdana" w:hAnsi="Verdana"/>
          <w:color w:val="auto"/>
          <w:sz w:val="22"/>
          <w:szCs w:val="22"/>
        </w:rPr>
        <w:t xml:space="preserve"> provides a useful</w:t>
      </w:r>
      <w:r w:rsidR="00B917BC">
        <w:rPr>
          <w:rFonts w:ascii="Verdana" w:hAnsi="Verdana"/>
          <w:color w:val="auto"/>
          <w:sz w:val="22"/>
          <w:szCs w:val="22"/>
        </w:rPr>
        <w:t xml:space="preserve"> early</w:t>
      </w:r>
      <w:r w:rsidR="00010EC7">
        <w:rPr>
          <w:rFonts w:ascii="Verdana" w:hAnsi="Verdana"/>
          <w:color w:val="auto"/>
          <w:sz w:val="22"/>
          <w:szCs w:val="22"/>
        </w:rPr>
        <w:t xml:space="preserve"> summary of the main issues which the Plan seeks to address</w:t>
      </w:r>
      <w:r w:rsidR="00B917BC">
        <w:rPr>
          <w:rFonts w:ascii="Verdana" w:hAnsi="Verdana"/>
          <w:color w:val="auto"/>
          <w:sz w:val="22"/>
          <w:szCs w:val="22"/>
        </w:rPr>
        <w:t xml:space="preserve"> by way of </w:t>
      </w:r>
      <w:r w:rsidR="00C829EC">
        <w:rPr>
          <w:rFonts w:ascii="Verdana" w:hAnsi="Verdana"/>
          <w:color w:val="auto"/>
          <w:sz w:val="22"/>
          <w:szCs w:val="22"/>
        </w:rPr>
        <w:t>its</w:t>
      </w:r>
      <w:r w:rsidR="00B917BC">
        <w:rPr>
          <w:rFonts w:ascii="Verdana" w:hAnsi="Verdana"/>
          <w:color w:val="auto"/>
          <w:sz w:val="22"/>
          <w:szCs w:val="22"/>
        </w:rPr>
        <w:t xml:space="preserve"> policies.  In section 3, it is </w:t>
      </w:r>
      <w:r w:rsidR="00C829EC">
        <w:rPr>
          <w:rFonts w:ascii="Verdana" w:hAnsi="Verdana"/>
          <w:color w:val="auto"/>
          <w:sz w:val="22"/>
          <w:szCs w:val="22"/>
        </w:rPr>
        <w:t xml:space="preserve">helpfully </w:t>
      </w:r>
      <w:r w:rsidR="00B917BC">
        <w:rPr>
          <w:rFonts w:ascii="Verdana" w:hAnsi="Verdana"/>
          <w:color w:val="auto"/>
          <w:sz w:val="22"/>
          <w:szCs w:val="22"/>
        </w:rPr>
        <w:t xml:space="preserve">stated that the Plan has sought to avoid repeating relevant policies in the London Plan </w:t>
      </w:r>
      <w:r w:rsidR="00B917BC">
        <w:rPr>
          <w:rFonts w:ascii="Verdana" w:hAnsi="Verdana"/>
          <w:color w:val="auto"/>
          <w:sz w:val="22"/>
          <w:szCs w:val="22"/>
        </w:rPr>
        <w:lastRenderedPageBreak/>
        <w:t xml:space="preserve">and WCC </w:t>
      </w:r>
      <w:r w:rsidR="005F37D7">
        <w:rPr>
          <w:rFonts w:ascii="Verdana" w:hAnsi="Verdana"/>
          <w:color w:val="auto"/>
          <w:sz w:val="22"/>
          <w:szCs w:val="22"/>
        </w:rPr>
        <w:t>D</w:t>
      </w:r>
      <w:r w:rsidR="00B917BC">
        <w:rPr>
          <w:rFonts w:ascii="Verdana" w:hAnsi="Verdana"/>
          <w:color w:val="auto"/>
          <w:sz w:val="22"/>
          <w:szCs w:val="22"/>
        </w:rPr>
        <w:t xml:space="preserve">evelopment </w:t>
      </w:r>
      <w:r w:rsidR="005F37D7">
        <w:rPr>
          <w:rFonts w:ascii="Verdana" w:hAnsi="Verdana"/>
          <w:color w:val="auto"/>
          <w:sz w:val="22"/>
          <w:szCs w:val="22"/>
        </w:rPr>
        <w:t>P</w:t>
      </w:r>
      <w:r w:rsidR="00B917BC">
        <w:rPr>
          <w:rFonts w:ascii="Verdana" w:hAnsi="Verdana"/>
          <w:color w:val="auto"/>
          <w:sz w:val="22"/>
          <w:szCs w:val="22"/>
        </w:rPr>
        <w:t xml:space="preserve">lan.  It has </w:t>
      </w:r>
      <w:r w:rsidR="00C829EC">
        <w:rPr>
          <w:rFonts w:ascii="Verdana" w:hAnsi="Verdana"/>
          <w:color w:val="auto"/>
          <w:sz w:val="22"/>
          <w:szCs w:val="22"/>
        </w:rPr>
        <w:t xml:space="preserve">also set priorities and defined the </w:t>
      </w:r>
      <w:r w:rsidR="00B917BC">
        <w:rPr>
          <w:rFonts w:ascii="Verdana" w:hAnsi="Verdana"/>
          <w:color w:val="auto"/>
          <w:sz w:val="22"/>
          <w:szCs w:val="22"/>
        </w:rPr>
        <w:t>issues which emerged as important at public meetings.</w:t>
      </w:r>
      <w:r w:rsidR="00104D17">
        <w:rPr>
          <w:rFonts w:ascii="Verdana" w:hAnsi="Verdana"/>
          <w:color w:val="auto"/>
          <w:sz w:val="22"/>
          <w:szCs w:val="22"/>
        </w:rPr>
        <w:t xml:space="preserve">  I consider that this is a good approach to plan preparation and reflects the Basic Conditions for neighbourhood planning.</w:t>
      </w:r>
    </w:p>
    <w:p w14:paraId="1C598094" w14:textId="77777777" w:rsidR="00104D17" w:rsidRDefault="00104D17" w:rsidP="008B0C58">
      <w:pPr>
        <w:pStyle w:val="Default"/>
        <w:ind w:left="426" w:hanging="426"/>
        <w:rPr>
          <w:rFonts w:ascii="Verdana" w:hAnsi="Verdana"/>
          <w:color w:val="auto"/>
          <w:sz w:val="22"/>
          <w:szCs w:val="22"/>
        </w:rPr>
      </w:pPr>
    </w:p>
    <w:p w14:paraId="30A66DE8" w14:textId="6F2138B2" w:rsidR="00104D17" w:rsidRDefault="0059168C" w:rsidP="008B0C58">
      <w:pPr>
        <w:pStyle w:val="Default"/>
        <w:ind w:left="720" w:hanging="720"/>
        <w:rPr>
          <w:rFonts w:ascii="Verdana" w:hAnsi="Verdana"/>
          <w:color w:val="auto"/>
          <w:sz w:val="22"/>
          <w:szCs w:val="22"/>
        </w:rPr>
      </w:pPr>
      <w:r>
        <w:rPr>
          <w:rFonts w:ascii="Verdana" w:hAnsi="Verdana"/>
          <w:color w:val="auto"/>
          <w:sz w:val="22"/>
          <w:szCs w:val="22"/>
        </w:rPr>
        <w:t>4.8</w:t>
      </w:r>
      <w:r w:rsidR="00104D17">
        <w:rPr>
          <w:rFonts w:ascii="Verdana" w:hAnsi="Verdana"/>
          <w:color w:val="auto"/>
          <w:sz w:val="22"/>
          <w:szCs w:val="22"/>
        </w:rPr>
        <w:t xml:space="preserve"> </w:t>
      </w:r>
      <w:r w:rsidR="00015BA5">
        <w:rPr>
          <w:rFonts w:ascii="Verdana" w:hAnsi="Verdana"/>
          <w:color w:val="auto"/>
          <w:sz w:val="22"/>
          <w:szCs w:val="22"/>
        </w:rPr>
        <w:tab/>
      </w:r>
      <w:r w:rsidR="00C829EC">
        <w:rPr>
          <w:rFonts w:ascii="Verdana" w:hAnsi="Verdana"/>
          <w:color w:val="auto"/>
          <w:sz w:val="22"/>
          <w:szCs w:val="22"/>
        </w:rPr>
        <w:t>T</w:t>
      </w:r>
      <w:r w:rsidR="00104D17">
        <w:rPr>
          <w:rFonts w:ascii="Verdana" w:hAnsi="Verdana"/>
          <w:color w:val="auto"/>
          <w:sz w:val="22"/>
          <w:szCs w:val="22"/>
        </w:rPr>
        <w:t>he vision</w:t>
      </w:r>
      <w:r w:rsidR="00C829EC">
        <w:rPr>
          <w:rFonts w:ascii="Verdana" w:hAnsi="Verdana"/>
          <w:color w:val="auto"/>
          <w:sz w:val="22"/>
          <w:szCs w:val="22"/>
        </w:rPr>
        <w:t xml:space="preserve">, in section 4, </w:t>
      </w:r>
      <w:r w:rsidR="00104D17">
        <w:rPr>
          <w:rFonts w:ascii="Verdana" w:hAnsi="Verdana"/>
          <w:color w:val="auto"/>
          <w:sz w:val="22"/>
          <w:szCs w:val="22"/>
        </w:rPr>
        <w:t>“</w:t>
      </w:r>
      <w:r w:rsidR="00C829EC" w:rsidRPr="00C829EC">
        <w:rPr>
          <w:rFonts w:ascii="Verdana" w:hAnsi="Verdana"/>
          <w:i/>
          <w:color w:val="auto"/>
          <w:sz w:val="22"/>
          <w:szCs w:val="22"/>
        </w:rPr>
        <w:t>aims</w:t>
      </w:r>
      <w:r w:rsidR="00C829EC">
        <w:rPr>
          <w:rFonts w:ascii="Verdana" w:hAnsi="Verdana"/>
          <w:color w:val="auto"/>
          <w:sz w:val="22"/>
          <w:szCs w:val="22"/>
        </w:rPr>
        <w:t xml:space="preserve"> </w:t>
      </w:r>
      <w:r w:rsidR="00104D17" w:rsidRPr="00104D17">
        <w:rPr>
          <w:rFonts w:ascii="Verdana" w:hAnsi="Verdana"/>
          <w:i/>
          <w:color w:val="auto"/>
          <w:sz w:val="22"/>
          <w:szCs w:val="22"/>
        </w:rPr>
        <w:t>to ensure that Fitzrovia West develops as a habitable, sustainable and neighbourly community in which to live and work through all means available, including planning, collaborative working and community enterprise</w:t>
      </w:r>
      <w:r w:rsidR="00104D17">
        <w:rPr>
          <w:rFonts w:ascii="Verdana" w:hAnsi="Verdana"/>
          <w:color w:val="auto"/>
          <w:sz w:val="22"/>
          <w:szCs w:val="22"/>
        </w:rPr>
        <w:t>”</w:t>
      </w:r>
      <w:r w:rsidR="00C829EC">
        <w:rPr>
          <w:rFonts w:ascii="Verdana" w:hAnsi="Verdana"/>
          <w:color w:val="auto"/>
          <w:sz w:val="22"/>
          <w:szCs w:val="22"/>
        </w:rPr>
        <w:t>.  This leads to a series of</w:t>
      </w:r>
      <w:r w:rsidR="00104D17">
        <w:rPr>
          <w:rFonts w:ascii="Verdana" w:hAnsi="Verdana"/>
          <w:color w:val="auto"/>
          <w:sz w:val="22"/>
          <w:szCs w:val="22"/>
        </w:rPr>
        <w:t xml:space="preserve"> objectives</w:t>
      </w:r>
      <w:r w:rsidR="00C829EC">
        <w:rPr>
          <w:rFonts w:ascii="Verdana" w:hAnsi="Verdana"/>
          <w:color w:val="auto"/>
          <w:sz w:val="22"/>
          <w:szCs w:val="22"/>
        </w:rPr>
        <w:t xml:space="preserve"> under the following headings</w:t>
      </w:r>
      <w:r w:rsidR="00104D17">
        <w:rPr>
          <w:rFonts w:ascii="Verdana" w:hAnsi="Verdana"/>
          <w:color w:val="auto"/>
          <w:sz w:val="22"/>
          <w:szCs w:val="22"/>
        </w:rPr>
        <w:t>:</w:t>
      </w:r>
    </w:p>
    <w:p w14:paraId="7BD32356" w14:textId="77777777" w:rsidR="00C829EC" w:rsidRDefault="00C829EC" w:rsidP="008B0C58">
      <w:pPr>
        <w:pStyle w:val="Default"/>
        <w:numPr>
          <w:ilvl w:val="0"/>
          <w:numId w:val="13"/>
        </w:numPr>
        <w:rPr>
          <w:rFonts w:ascii="Verdana" w:hAnsi="Verdana"/>
          <w:color w:val="auto"/>
          <w:sz w:val="22"/>
          <w:szCs w:val="22"/>
        </w:rPr>
      </w:pPr>
      <w:r>
        <w:rPr>
          <w:rFonts w:ascii="Verdana" w:hAnsi="Verdana"/>
          <w:color w:val="auto"/>
          <w:sz w:val="22"/>
          <w:szCs w:val="22"/>
        </w:rPr>
        <w:t>Promoting regeneration</w:t>
      </w:r>
    </w:p>
    <w:p w14:paraId="6DFF9413" w14:textId="77777777" w:rsidR="00C829EC" w:rsidRDefault="00443487" w:rsidP="008B0C58">
      <w:pPr>
        <w:pStyle w:val="Default"/>
        <w:numPr>
          <w:ilvl w:val="0"/>
          <w:numId w:val="13"/>
        </w:numPr>
        <w:rPr>
          <w:rFonts w:ascii="Verdana" w:hAnsi="Verdana"/>
          <w:color w:val="auto"/>
          <w:sz w:val="22"/>
          <w:szCs w:val="22"/>
        </w:rPr>
      </w:pPr>
      <w:r>
        <w:rPr>
          <w:rFonts w:ascii="Verdana" w:hAnsi="Verdana"/>
          <w:color w:val="auto"/>
          <w:sz w:val="22"/>
          <w:szCs w:val="22"/>
        </w:rPr>
        <w:t>Supporting business</w:t>
      </w:r>
      <w:r w:rsidR="00C829EC">
        <w:rPr>
          <w:rFonts w:ascii="Verdana" w:hAnsi="Verdana"/>
          <w:color w:val="auto"/>
          <w:sz w:val="22"/>
          <w:szCs w:val="22"/>
        </w:rPr>
        <w:t xml:space="preserve"> uses and development</w:t>
      </w:r>
    </w:p>
    <w:p w14:paraId="00E0843C" w14:textId="77777777" w:rsidR="00C829EC" w:rsidRDefault="00C829EC" w:rsidP="008B0C58">
      <w:pPr>
        <w:pStyle w:val="Default"/>
        <w:numPr>
          <w:ilvl w:val="0"/>
          <w:numId w:val="13"/>
        </w:numPr>
        <w:rPr>
          <w:rFonts w:ascii="Verdana" w:hAnsi="Verdana"/>
          <w:color w:val="auto"/>
          <w:sz w:val="22"/>
          <w:szCs w:val="22"/>
        </w:rPr>
      </w:pPr>
      <w:r>
        <w:rPr>
          <w:rFonts w:ascii="Verdana" w:hAnsi="Verdana"/>
          <w:color w:val="auto"/>
          <w:sz w:val="22"/>
          <w:szCs w:val="22"/>
        </w:rPr>
        <w:t>Protecting and increasing green and open space</w:t>
      </w:r>
    </w:p>
    <w:p w14:paraId="403D917E" w14:textId="77777777" w:rsidR="00C829EC" w:rsidRDefault="00C829EC" w:rsidP="008B0C58">
      <w:pPr>
        <w:pStyle w:val="Default"/>
        <w:numPr>
          <w:ilvl w:val="0"/>
          <w:numId w:val="13"/>
        </w:numPr>
        <w:rPr>
          <w:rFonts w:ascii="Verdana" w:hAnsi="Verdana"/>
          <w:color w:val="auto"/>
          <w:sz w:val="22"/>
          <w:szCs w:val="22"/>
        </w:rPr>
      </w:pPr>
      <w:r>
        <w:rPr>
          <w:rFonts w:ascii="Verdana" w:hAnsi="Verdana"/>
          <w:color w:val="auto"/>
          <w:sz w:val="22"/>
          <w:szCs w:val="22"/>
        </w:rPr>
        <w:t>Promoting environmental quality, and</w:t>
      </w:r>
    </w:p>
    <w:p w14:paraId="1503623F" w14:textId="77777777" w:rsidR="00C829EC" w:rsidRDefault="00C829EC" w:rsidP="008B0C58">
      <w:pPr>
        <w:pStyle w:val="Default"/>
        <w:numPr>
          <w:ilvl w:val="0"/>
          <w:numId w:val="13"/>
        </w:numPr>
        <w:rPr>
          <w:rFonts w:ascii="Verdana" w:hAnsi="Verdana"/>
          <w:color w:val="auto"/>
          <w:sz w:val="22"/>
          <w:szCs w:val="22"/>
        </w:rPr>
      </w:pPr>
      <w:r>
        <w:rPr>
          <w:rFonts w:ascii="Verdana" w:hAnsi="Verdana"/>
          <w:color w:val="auto"/>
          <w:sz w:val="22"/>
          <w:szCs w:val="22"/>
        </w:rPr>
        <w:t>Mobility and transport.</w:t>
      </w:r>
    </w:p>
    <w:p w14:paraId="3DDCD72A" w14:textId="77777777" w:rsidR="00BE2164" w:rsidRDefault="00BE2164" w:rsidP="008B0C58">
      <w:pPr>
        <w:pStyle w:val="Default"/>
        <w:rPr>
          <w:rFonts w:ascii="Verdana" w:hAnsi="Verdana"/>
          <w:color w:val="auto"/>
          <w:sz w:val="22"/>
          <w:szCs w:val="22"/>
        </w:rPr>
      </w:pPr>
    </w:p>
    <w:p w14:paraId="5C373CA6" w14:textId="0309C188" w:rsidR="00BE2164" w:rsidRDefault="00C829EC" w:rsidP="008B0C58">
      <w:pPr>
        <w:pStyle w:val="Default"/>
        <w:ind w:left="720"/>
        <w:rPr>
          <w:rFonts w:ascii="Verdana" w:hAnsi="Verdana"/>
          <w:color w:val="auto"/>
          <w:sz w:val="22"/>
          <w:szCs w:val="22"/>
        </w:rPr>
      </w:pPr>
      <w:r>
        <w:rPr>
          <w:rFonts w:ascii="Verdana" w:hAnsi="Verdana"/>
          <w:color w:val="auto"/>
          <w:sz w:val="22"/>
          <w:szCs w:val="22"/>
        </w:rPr>
        <w:t xml:space="preserve">I consider that these sub-headings cover all the key issues </w:t>
      </w:r>
      <w:r w:rsidR="00996DBF">
        <w:rPr>
          <w:rFonts w:ascii="Verdana" w:hAnsi="Verdana"/>
          <w:color w:val="auto"/>
          <w:sz w:val="22"/>
          <w:szCs w:val="22"/>
        </w:rPr>
        <w:t xml:space="preserve">raised through public consultation and in background evidence.  </w:t>
      </w:r>
      <w:r w:rsidR="00AB6A89">
        <w:rPr>
          <w:rFonts w:ascii="Verdana" w:hAnsi="Verdana"/>
          <w:color w:val="auto"/>
          <w:sz w:val="22"/>
          <w:szCs w:val="22"/>
        </w:rPr>
        <w:t>I note the suggestion</w:t>
      </w:r>
      <w:r w:rsidR="00D2097E">
        <w:rPr>
          <w:rFonts w:ascii="Verdana" w:hAnsi="Verdana"/>
          <w:color w:val="auto"/>
          <w:sz w:val="22"/>
          <w:szCs w:val="22"/>
        </w:rPr>
        <w:t xml:space="preserve"> in a consultation response</w:t>
      </w:r>
      <w:r w:rsidR="00AB6A89">
        <w:rPr>
          <w:rFonts w:ascii="Verdana" w:hAnsi="Verdana"/>
          <w:color w:val="auto"/>
          <w:sz w:val="22"/>
          <w:szCs w:val="22"/>
        </w:rPr>
        <w:t xml:space="preserve"> that the fourth objective on Mobility and Transport should be amended to </w:t>
      </w:r>
      <w:r w:rsidR="00AB6A89" w:rsidRPr="00BE2164">
        <w:rPr>
          <w:rFonts w:ascii="Verdana" w:hAnsi="Verdana"/>
          <w:color w:val="auto"/>
          <w:sz w:val="22"/>
          <w:szCs w:val="22"/>
        </w:rPr>
        <w:t>balance</w:t>
      </w:r>
      <w:r w:rsidR="00BE2164">
        <w:rPr>
          <w:rFonts w:ascii="Verdana" w:hAnsi="Verdana"/>
          <w:color w:val="auto"/>
          <w:sz w:val="22"/>
          <w:szCs w:val="22"/>
        </w:rPr>
        <w:t xml:space="preserve"> </w:t>
      </w:r>
      <w:r w:rsidR="00AB6A89">
        <w:rPr>
          <w:rFonts w:ascii="Verdana" w:hAnsi="Verdana"/>
          <w:color w:val="auto"/>
          <w:sz w:val="22"/>
          <w:szCs w:val="22"/>
        </w:rPr>
        <w:t xml:space="preserve">the amenity standards of residents and businesses with the strategic benefits of development schemes.  However, having regard for paragraph 182 of the NPPF, I see no need to modify the existing objective.  </w:t>
      </w:r>
      <w:r w:rsidR="006E5DD5">
        <w:rPr>
          <w:rFonts w:ascii="Verdana" w:hAnsi="Verdana"/>
          <w:color w:val="auto"/>
          <w:sz w:val="22"/>
          <w:szCs w:val="22"/>
        </w:rPr>
        <w:t xml:space="preserve">WCC stated that the objectives align with those of the emerging City Plan.  </w:t>
      </w:r>
      <w:r w:rsidR="00996DBF">
        <w:rPr>
          <w:rFonts w:ascii="Verdana" w:hAnsi="Verdana"/>
          <w:color w:val="auto"/>
          <w:sz w:val="22"/>
          <w:szCs w:val="22"/>
        </w:rPr>
        <w:t xml:space="preserve">My site visit also confirmed their suitability for future planning in Fitzrovia West.  Sections 5-9 contain policies under each objective heading, and I comment on those below. </w:t>
      </w:r>
      <w:r w:rsidR="00BD17DD">
        <w:rPr>
          <w:rFonts w:ascii="Verdana" w:hAnsi="Verdana"/>
          <w:color w:val="auto"/>
          <w:sz w:val="22"/>
          <w:szCs w:val="22"/>
        </w:rPr>
        <w:t xml:space="preserve"> I note that all policies are supported by cross-references to their strategic policy context</w:t>
      </w:r>
      <w:r w:rsidR="00D2097E">
        <w:rPr>
          <w:rFonts w:ascii="Verdana" w:hAnsi="Verdana"/>
          <w:color w:val="auto"/>
          <w:sz w:val="22"/>
          <w:szCs w:val="22"/>
        </w:rPr>
        <w:t>,</w:t>
      </w:r>
      <w:r w:rsidR="00BD17DD">
        <w:rPr>
          <w:rFonts w:ascii="Verdana" w:hAnsi="Verdana"/>
          <w:color w:val="auto"/>
          <w:sz w:val="22"/>
          <w:szCs w:val="22"/>
        </w:rPr>
        <w:t xml:space="preserve"> and text to justify them. </w:t>
      </w:r>
      <w:r w:rsidR="00996DBF">
        <w:rPr>
          <w:rFonts w:ascii="Verdana" w:hAnsi="Verdana"/>
          <w:color w:val="auto"/>
          <w:sz w:val="22"/>
          <w:szCs w:val="22"/>
        </w:rPr>
        <w:t xml:space="preserve"> </w:t>
      </w:r>
    </w:p>
    <w:p w14:paraId="4E1E96B4" w14:textId="77777777" w:rsidR="00BE2164" w:rsidRDefault="00BE2164" w:rsidP="008B0C58">
      <w:pPr>
        <w:pStyle w:val="Default"/>
        <w:rPr>
          <w:rFonts w:ascii="Verdana" w:hAnsi="Verdana"/>
          <w:color w:val="auto"/>
          <w:sz w:val="22"/>
          <w:szCs w:val="22"/>
        </w:rPr>
      </w:pPr>
    </w:p>
    <w:p w14:paraId="06884E89" w14:textId="28BD2925" w:rsidR="00732C5C" w:rsidRDefault="00BE2164" w:rsidP="008B0C58">
      <w:pPr>
        <w:pStyle w:val="Default"/>
        <w:rPr>
          <w:rFonts w:ascii="Verdana" w:hAnsi="Verdana"/>
          <w:color w:val="auto"/>
          <w:sz w:val="22"/>
          <w:szCs w:val="22"/>
        </w:rPr>
      </w:pPr>
      <w:r>
        <w:rPr>
          <w:rFonts w:ascii="Verdana" w:hAnsi="Verdana"/>
          <w:color w:val="auto"/>
          <w:sz w:val="22"/>
          <w:szCs w:val="22"/>
        </w:rPr>
        <w:t>4.9</w:t>
      </w:r>
      <w:r w:rsidR="00BD17DD">
        <w:rPr>
          <w:rFonts w:ascii="Verdana" w:hAnsi="Verdana"/>
          <w:color w:val="auto"/>
          <w:sz w:val="22"/>
          <w:szCs w:val="22"/>
        </w:rPr>
        <w:t xml:space="preserve"> </w:t>
      </w:r>
      <w:r w:rsidR="00015BA5">
        <w:rPr>
          <w:rFonts w:ascii="Verdana" w:hAnsi="Verdana"/>
          <w:color w:val="auto"/>
          <w:sz w:val="22"/>
          <w:szCs w:val="22"/>
        </w:rPr>
        <w:tab/>
      </w:r>
      <w:r w:rsidR="00BD17DD">
        <w:rPr>
          <w:rFonts w:ascii="Verdana" w:hAnsi="Verdana"/>
          <w:color w:val="auto"/>
          <w:sz w:val="22"/>
          <w:szCs w:val="22"/>
        </w:rPr>
        <w:t xml:space="preserve">Appendices 1 and 2 identify Grade </w:t>
      </w:r>
      <w:r w:rsidR="00A8015A">
        <w:rPr>
          <w:rFonts w:ascii="Verdana" w:hAnsi="Verdana"/>
          <w:color w:val="auto"/>
          <w:sz w:val="22"/>
          <w:szCs w:val="22"/>
        </w:rPr>
        <w:t xml:space="preserve">I </w:t>
      </w:r>
      <w:r w:rsidR="00BD17DD">
        <w:rPr>
          <w:rFonts w:ascii="Verdana" w:hAnsi="Verdana"/>
          <w:color w:val="auto"/>
          <w:sz w:val="22"/>
          <w:szCs w:val="22"/>
        </w:rPr>
        <w:t xml:space="preserve">and Grade II* listed buildings, as well </w:t>
      </w:r>
    </w:p>
    <w:p w14:paraId="36399AC3" w14:textId="25CFD9A7" w:rsidR="00C829EC" w:rsidRDefault="00BD17DD" w:rsidP="008B0C58">
      <w:pPr>
        <w:pStyle w:val="Default"/>
        <w:ind w:left="720"/>
        <w:rPr>
          <w:rFonts w:ascii="Verdana" w:hAnsi="Verdana"/>
          <w:color w:val="auto"/>
          <w:sz w:val="22"/>
          <w:szCs w:val="22"/>
        </w:rPr>
      </w:pPr>
      <w:r>
        <w:rPr>
          <w:rFonts w:ascii="Verdana" w:hAnsi="Verdana"/>
          <w:color w:val="auto"/>
          <w:sz w:val="22"/>
          <w:szCs w:val="22"/>
        </w:rPr>
        <w:t xml:space="preserve">as an Archaeological Priority Area, </w:t>
      </w:r>
      <w:r w:rsidR="00E247CD">
        <w:rPr>
          <w:rFonts w:ascii="Verdana" w:hAnsi="Verdana"/>
          <w:color w:val="auto"/>
          <w:sz w:val="22"/>
          <w:szCs w:val="22"/>
        </w:rPr>
        <w:t>and</w:t>
      </w:r>
      <w:r>
        <w:rPr>
          <w:rFonts w:ascii="Verdana" w:hAnsi="Verdana"/>
          <w:color w:val="auto"/>
          <w:sz w:val="22"/>
          <w:szCs w:val="22"/>
        </w:rPr>
        <w:t xml:space="preserve"> unlisted buildings of merit in the five conservation areas in Fitzrovia West.  </w:t>
      </w:r>
      <w:r w:rsidR="00E247CD">
        <w:rPr>
          <w:rFonts w:ascii="Verdana" w:hAnsi="Verdana"/>
          <w:color w:val="auto"/>
          <w:sz w:val="22"/>
          <w:szCs w:val="22"/>
        </w:rPr>
        <w:t xml:space="preserve">Appendix 3 covers Monitoring and Reviewing the Plan, recognising that revisions and updates will be required over the </w:t>
      </w:r>
      <w:r w:rsidR="006E334B">
        <w:rPr>
          <w:rFonts w:ascii="Verdana" w:hAnsi="Verdana"/>
          <w:color w:val="auto"/>
          <w:sz w:val="22"/>
          <w:szCs w:val="22"/>
        </w:rPr>
        <w:t>P</w:t>
      </w:r>
      <w:r w:rsidR="00E247CD">
        <w:rPr>
          <w:rFonts w:ascii="Verdana" w:hAnsi="Verdana"/>
          <w:color w:val="auto"/>
          <w:sz w:val="22"/>
          <w:szCs w:val="22"/>
        </w:rPr>
        <w:t>lan period, and committing the Forum to monitoring and managing implementation.  Appendix 4 addresses the Use of C</w:t>
      </w:r>
      <w:r w:rsidR="00C34C25">
        <w:rPr>
          <w:rFonts w:ascii="Verdana" w:hAnsi="Verdana"/>
          <w:color w:val="auto"/>
          <w:sz w:val="22"/>
          <w:szCs w:val="22"/>
        </w:rPr>
        <w:t xml:space="preserve">ommunity </w:t>
      </w:r>
      <w:r w:rsidR="00E247CD">
        <w:rPr>
          <w:rFonts w:ascii="Verdana" w:hAnsi="Verdana"/>
          <w:color w:val="auto"/>
          <w:sz w:val="22"/>
          <w:szCs w:val="22"/>
        </w:rPr>
        <w:t>I</w:t>
      </w:r>
      <w:r w:rsidR="00C34C25">
        <w:rPr>
          <w:rFonts w:ascii="Verdana" w:hAnsi="Verdana"/>
          <w:color w:val="auto"/>
          <w:sz w:val="22"/>
          <w:szCs w:val="22"/>
        </w:rPr>
        <w:t xml:space="preserve">nfrastructure </w:t>
      </w:r>
      <w:r w:rsidR="00E247CD">
        <w:rPr>
          <w:rFonts w:ascii="Verdana" w:hAnsi="Verdana"/>
          <w:color w:val="auto"/>
          <w:sz w:val="22"/>
          <w:szCs w:val="22"/>
        </w:rPr>
        <w:t>L</w:t>
      </w:r>
      <w:r w:rsidR="00C34C25">
        <w:rPr>
          <w:rFonts w:ascii="Verdana" w:hAnsi="Verdana"/>
          <w:color w:val="auto"/>
          <w:sz w:val="22"/>
          <w:szCs w:val="22"/>
        </w:rPr>
        <w:t>evy</w:t>
      </w:r>
      <w:r w:rsidR="00E247CD">
        <w:rPr>
          <w:rFonts w:ascii="Verdana" w:hAnsi="Verdana"/>
          <w:color w:val="auto"/>
          <w:sz w:val="22"/>
          <w:szCs w:val="22"/>
        </w:rPr>
        <w:t xml:space="preserve"> Funds and Non-Planning Projects, which could help implementation of the F</w:t>
      </w:r>
      <w:r w:rsidR="00016E87">
        <w:rPr>
          <w:rFonts w:ascii="Verdana" w:hAnsi="Verdana"/>
          <w:color w:val="auto"/>
          <w:sz w:val="22"/>
          <w:szCs w:val="22"/>
        </w:rPr>
        <w:t>W</w:t>
      </w:r>
      <w:r w:rsidR="00E247CD">
        <w:rPr>
          <w:rFonts w:ascii="Verdana" w:hAnsi="Verdana"/>
          <w:color w:val="auto"/>
          <w:sz w:val="22"/>
          <w:szCs w:val="22"/>
        </w:rPr>
        <w:t>NP vision.  Appendix 5 provides a list of key sources of information and policy guides, and Appendix 6 includes a glossary of technical terms.  The Appendices</w:t>
      </w:r>
      <w:r w:rsidR="0075658C">
        <w:rPr>
          <w:rFonts w:ascii="Verdana" w:hAnsi="Verdana"/>
          <w:color w:val="auto"/>
          <w:sz w:val="22"/>
          <w:szCs w:val="22"/>
        </w:rPr>
        <w:t>, in my view,</w:t>
      </w:r>
      <w:r w:rsidR="00E247CD">
        <w:rPr>
          <w:rFonts w:ascii="Verdana" w:hAnsi="Verdana"/>
          <w:color w:val="auto"/>
          <w:sz w:val="22"/>
          <w:szCs w:val="22"/>
        </w:rPr>
        <w:t xml:space="preserve"> should assist all readers and users of the FW</w:t>
      </w:r>
      <w:r w:rsidR="00016E87">
        <w:rPr>
          <w:rFonts w:ascii="Verdana" w:hAnsi="Verdana"/>
          <w:color w:val="auto"/>
          <w:sz w:val="22"/>
          <w:szCs w:val="22"/>
        </w:rPr>
        <w:t xml:space="preserve">NP.  The maps, figures and Table 1 help to illustrate policies and text throughout the Plan.  </w:t>
      </w:r>
      <w:r w:rsidR="00996DBF">
        <w:rPr>
          <w:rFonts w:ascii="Verdana" w:hAnsi="Verdana"/>
          <w:color w:val="auto"/>
          <w:sz w:val="22"/>
          <w:szCs w:val="22"/>
        </w:rPr>
        <w:t xml:space="preserve">Overall, </w:t>
      </w:r>
      <w:r w:rsidR="00016E87">
        <w:rPr>
          <w:rFonts w:ascii="Verdana" w:hAnsi="Verdana"/>
          <w:color w:val="auto"/>
          <w:sz w:val="22"/>
          <w:szCs w:val="22"/>
        </w:rPr>
        <w:t xml:space="preserve">on the first main issue, </w:t>
      </w:r>
      <w:r w:rsidR="0087569C">
        <w:rPr>
          <w:rFonts w:ascii="Verdana" w:hAnsi="Verdana"/>
          <w:color w:val="auto"/>
          <w:sz w:val="22"/>
          <w:szCs w:val="22"/>
        </w:rPr>
        <w:t xml:space="preserve">providing that </w:t>
      </w:r>
      <w:r w:rsidR="0087569C">
        <w:rPr>
          <w:rFonts w:ascii="Verdana" w:hAnsi="Verdana"/>
          <w:b/>
          <w:color w:val="auto"/>
          <w:sz w:val="22"/>
          <w:szCs w:val="22"/>
        </w:rPr>
        <w:t xml:space="preserve">PMs </w:t>
      </w:r>
      <w:r w:rsidR="00EA3D12">
        <w:rPr>
          <w:rFonts w:ascii="Verdana" w:hAnsi="Verdana"/>
          <w:b/>
          <w:color w:val="auto"/>
          <w:sz w:val="22"/>
          <w:szCs w:val="22"/>
        </w:rPr>
        <w:t>2</w:t>
      </w:r>
      <w:r w:rsidR="0087569C">
        <w:rPr>
          <w:rFonts w:ascii="Verdana" w:hAnsi="Verdana"/>
          <w:b/>
          <w:color w:val="auto"/>
          <w:sz w:val="22"/>
          <w:szCs w:val="22"/>
        </w:rPr>
        <w:t xml:space="preserve"> &amp; </w:t>
      </w:r>
      <w:r w:rsidR="00EA3D12">
        <w:rPr>
          <w:rFonts w:ascii="Verdana" w:hAnsi="Verdana"/>
          <w:b/>
          <w:color w:val="auto"/>
          <w:sz w:val="22"/>
          <w:szCs w:val="22"/>
        </w:rPr>
        <w:t>3</w:t>
      </w:r>
      <w:r w:rsidR="0087569C">
        <w:rPr>
          <w:rFonts w:ascii="Verdana" w:hAnsi="Verdana"/>
          <w:b/>
          <w:color w:val="auto"/>
          <w:sz w:val="22"/>
          <w:szCs w:val="22"/>
        </w:rPr>
        <w:t xml:space="preserve"> </w:t>
      </w:r>
      <w:r w:rsidR="0087569C">
        <w:rPr>
          <w:rFonts w:ascii="Verdana" w:hAnsi="Verdana"/>
          <w:color w:val="auto"/>
          <w:sz w:val="22"/>
          <w:szCs w:val="22"/>
        </w:rPr>
        <w:t xml:space="preserve">are made, </w:t>
      </w:r>
      <w:r w:rsidR="00996DBF">
        <w:rPr>
          <w:rFonts w:ascii="Verdana" w:hAnsi="Verdana"/>
          <w:color w:val="auto"/>
          <w:sz w:val="22"/>
          <w:szCs w:val="22"/>
        </w:rPr>
        <w:t xml:space="preserve">I am satisfied that the Plan </w:t>
      </w:r>
      <w:r w:rsidR="0087569C">
        <w:rPr>
          <w:rFonts w:ascii="Verdana" w:hAnsi="Verdana"/>
          <w:color w:val="auto"/>
          <w:sz w:val="22"/>
          <w:szCs w:val="22"/>
        </w:rPr>
        <w:t>will be</w:t>
      </w:r>
      <w:r w:rsidR="0075658C">
        <w:rPr>
          <w:rFonts w:ascii="Verdana" w:hAnsi="Verdana"/>
          <w:color w:val="auto"/>
          <w:sz w:val="22"/>
          <w:szCs w:val="22"/>
        </w:rPr>
        <w:t xml:space="preserve"> suitably succinct </w:t>
      </w:r>
      <w:r w:rsidR="0087569C">
        <w:rPr>
          <w:rFonts w:ascii="Verdana" w:hAnsi="Verdana"/>
          <w:color w:val="auto"/>
          <w:sz w:val="22"/>
          <w:szCs w:val="22"/>
        </w:rPr>
        <w:t>with</w:t>
      </w:r>
      <w:r w:rsidR="00996DBF">
        <w:rPr>
          <w:rFonts w:ascii="Verdana" w:hAnsi="Verdana"/>
          <w:color w:val="auto"/>
          <w:sz w:val="22"/>
          <w:szCs w:val="22"/>
        </w:rPr>
        <w:t xml:space="preserve"> a clear and logical structure</w:t>
      </w:r>
      <w:r>
        <w:rPr>
          <w:rFonts w:ascii="Verdana" w:hAnsi="Verdana"/>
          <w:color w:val="auto"/>
          <w:sz w:val="22"/>
          <w:szCs w:val="22"/>
        </w:rPr>
        <w:t xml:space="preserve">, </w:t>
      </w:r>
      <w:r w:rsidR="0075658C">
        <w:rPr>
          <w:rFonts w:ascii="Verdana" w:hAnsi="Verdana"/>
          <w:color w:val="auto"/>
          <w:sz w:val="22"/>
          <w:szCs w:val="22"/>
        </w:rPr>
        <w:t>which</w:t>
      </w:r>
      <w:r>
        <w:rPr>
          <w:rFonts w:ascii="Verdana" w:hAnsi="Verdana"/>
          <w:color w:val="auto"/>
          <w:sz w:val="22"/>
          <w:szCs w:val="22"/>
        </w:rPr>
        <w:t xml:space="preserve"> </w:t>
      </w:r>
      <w:r w:rsidR="00016E87">
        <w:rPr>
          <w:rFonts w:ascii="Verdana" w:hAnsi="Verdana"/>
          <w:color w:val="auto"/>
          <w:sz w:val="22"/>
          <w:szCs w:val="22"/>
        </w:rPr>
        <w:t xml:space="preserve">generally </w:t>
      </w:r>
      <w:r>
        <w:rPr>
          <w:rFonts w:ascii="Verdana" w:hAnsi="Verdana"/>
          <w:color w:val="auto"/>
          <w:sz w:val="22"/>
          <w:szCs w:val="22"/>
        </w:rPr>
        <w:t>complies with the Basic Conditions for neighbourhood planning.</w:t>
      </w:r>
    </w:p>
    <w:p w14:paraId="2BED8409" w14:textId="77777777" w:rsidR="0092220B" w:rsidRDefault="0092220B" w:rsidP="008B0C58">
      <w:pPr>
        <w:pStyle w:val="Default"/>
        <w:rPr>
          <w:rFonts w:ascii="Verdana" w:hAnsi="Verdana"/>
          <w:color w:val="auto"/>
          <w:sz w:val="22"/>
          <w:szCs w:val="22"/>
        </w:rPr>
      </w:pPr>
    </w:p>
    <w:p w14:paraId="3732A274" w14:textId="17F89FD1" w:rsidR="00732C5C" w:rsidRPr="00732C5C" w:rsidRDefault="00732C5C" w:rsidP="008B0C58">
      <w:pPr>
        <w:pStyle w:val="Default"/>
        <w:rPr>
          <w:rFonts w:ascii="Verdana" w:hAnsi="Verdana"/>
          <w:i/>
          <w:color w:val="auto"/>
          <w:sz w:val="22"/>
          <w:szCs w:val="22"/>
        </w:rPr>
      </w:pPr>
      <w:r w:rsidRPr="00732C5C">
        <w:rPr>
          <w:rFonts w:ascii="Verdana" w:hAnsi="Verdana"/>
          <w:i/>
          <w:sz w:val="22"/>
          <w:szCs w:val="22"/>
        </w:rPr>
        <w:t xml:space="preserve">Specific </w:t>
      </w:r>
      <w:r w:rsidR="00DE2CB4">
        <w:rPr>
          <w:rFonts w:ascii="Verdana" w:hAnsi="Verdana"/>
          <w:i/>
          <w:sz w:val="22"/>
          <w:szCs w:val="22"/>
        </w:rPr>
        <w:t>I</w:t>
      </w:r>
      <w:r w:rsidRPr="00732C5C">
        <w:rPr>
          <w:rFonts w:ascii="Verdana" w:hAnsi="Verdana"/>
          <w:i/>
          <w:sz w:val="22"/>
          <w:szCs w:val="22"/>
        </w:rPr>
        <w:t xml:space="preserve">ssues of </w:t>
      </w:r>
      <w:r w:rsidR="00DE2CB4">
        <w:rPr>
          <w:rFonts w:ascii="Verdana" w:hAnsi="Verdana"/>
          <w:i/>
          <w:sz w:val="22"/>
          <w:szCs w:val="22"/>
        </w:rPr>
        <w:t>C</w:t>
      </w:r>
      <w:r w:rsidRPr="00732C5C">
        <w:rPr>
          <w:rFonts w:ascii="Verdana" w:hAnsi="Verdana"/>
          <w:i/>
          <w:sz w:val="22"/>
          <w:szCs w:val="22"/>
        </w:rPr>
        <w:t>ompliance of the Plan</w:t>
      </w:r>
      <w:r w:rsidR="000F0451">
        <w:rPr>
          <w:rFonts w:ascii="Verdana" w:hAnsi="Verdana"/>
          <w:i/>
          <w:sz w:val="22"/>
          <w:szCs w:val="22"/>
        </w:rPr>
        <w:t>’s</w:t>
      </w:r>
      <w:r w:rsidRPr="00732C5C">
        <w:rPr>
          <w:rFonts w:ascii="Verdana" w:hAnsi="Verdana"/>
          <w:i/>
          <w:sz w:val="22"/>
          <w:szCs w:val="22"/>
        </w:rPr>
        <w:t xml:space="preserve"> </w:t>
      </w:r>
      <w:r w:rsidR="00DE2CB4">
        <w:rPr>
          <w:rFonts w:ascii="Verdana" w:hAnsi="Verdana"/>
          <w:i/>
          <w:sz w:val="22"/>
          <w:szCs w:val="22"/>
        </w:rPr>
        <w:t>P</w:t>
      </w:r>
      <w:r w:rsidRPr="00732C5C">
        <w:rPr>
          <w:rFonts w:ascii="Verdana" w:hAnsi="Verdana"/>
          <w:i/>
          <w:sz w:val="22"/>
          <w:szCs w:val="22"/>
        </w:rPr>
        <w:t>olicies</w:t>
      </w:r>
    </w:p>
    <w:p w14:paraId="2C8F1395" w14:textId="77777777" w:rsidR="00732C5C" w:rsidRDefault="00732C5C" w:rsidP="008B0C58">
      <w:pPr>
        <w:jc w:val="left"/>
      </w:pPr>
    </w:p>
    <w:p w14:paraId="07EF13FF" w14:textId="1312FF09" w:rsidR="00D4654B" w:rsidRDefault="00732C5C" w:rsidP="008B0C58">
      <w:pPr>
        <w:ind w:left="720" w:hanging="720"/>
        <w:jc w:val="left"/>
      </w:pPr>
      <w:r>
        <w:t>4.</w:t>
      </w:r>
      <w:r w:rsidR="00EA3D12">
        <w:t>10</w:t>
      </w:r>
      <w:r w:rsidR="00DC2A17">
        <w:t xml:space="preserve"> </w:t>
      </w:r>
      <w:r w:rsidR="00015BA5">
        <w:tab/>
      </w:r>
      <w:r w:rsidR="00EA3D12">
        <w:t>Table 3 of the SOCG refers to the Strategic Policy Context</w:t>
      </w:r>
      <w:r w:rsidR="00025E51">
        <w:t xml:space="preserve">, relevant components of </w:t>
      </w:r>
      <w:r w:rsidR="00EA3D12">
        <w:t xml:space="preserve">which </w:t>
      </w:r>
      <w:r w:rsidR="00025E51">
        <w:t>are</w:t>
      </w:r>
      <w:r w:rsidR="00EA3D12">
        <w:t xml:space="preserve"> summarised under each policy in the Plan.  I consider these references to be helpful, especially as both the </w:t>
      </w:r>
      <w:r w:rsidR="00792E2B">
        <w:t xml:space="preserve">adopted </w:t>
      </w:r>
      <w:r w:rsidR="00EA3D12">
        <w:lastRenderedPageBreak/>
        <w:t xml:space="preserve">London Plan and Westminster </w:t>
      </w:r>
      <w:r w:rsidR="008943BC">
        <w:t xml:space="preserve">City Council Plan, and their emerging plans, are </w:t>
      </w:r>
      <w:r w:rsidR="00025E51">
        <w:t xml:space="preserve">all </w:t>
      </w:r>
      <w:r w:rsidR="008943BC">
        <w:t xml:space="preserve">applicable in Fitzrovia West.  I agree that the </w:t>
      </w:r>
      <w:r w:rsidR="00025E51">
        <w:t>c</w:t>
      </w:r>
      <w:r w:rsidR="008943BC">
        <w:t>ontext</w:t>
      </w:r>
      <w:r w:rsidR="00025E51">
        <w:t>ual</w:t>
      </w:r>
      <w:r w:rsidR="008943BC">
        <w:t xml:space="preserve"> information should be updated</w:t>
      </w:r>
      <w:r w:rsidR="0081618C">
        <w:t>,</w:t>
      </w:r>
      <w:r w:rsidR="008943BC">
        <w:t xml:space="preserve"> to refer to the most recent version of emerging plans (notably “WCC City Plan post-examination draft, 2020”)</w:t>
      </w:r>
      <w:r w:rsidR="0081618C">
        <w:t>,</w:t>
      </w:r>
      <w:r w:rsidR="008943BC">
        <w:t xml:space="preserve"> and to re-number the strategic policies in accordance with the </w:t>
      </w:r>
      <w:r w:rsidR="008D519D">
        <w:t>P</w:t>
      </w:r>
      <w:r w:rsidR="00B4579D">
        <w:t>ublication version of the</w:t>
      </w:r>
      <w:r w:rsidR="008943BC">
        <w:t xml:space="preserve"> London Plan</w:t>
      </w:r>
      <w:r w:rsidR="00025E51">
        <w:t xml:space="preserve">.  </w:t>
      </w:r>
      <w:r w:rsidR="000973FE">
        <w:t xml:space="preserve">Paragraph numbers for the supporting text in the FWNP may also need to be amended in line with the proposed modifications, and I am content for these to be </w:t>
      </w:r>
      <w:r w:rsidR="0081618C">
        <w:t>changed</w:t>
      </w:r>
      <w:r w:rsidR="000973FE">
        <w:t xml:space="preserve"> by the Forum.  </w:t>
      </w:r>
      <w:r w:rsidR="00FC7BB9">
        <w:t xml:space="preserve">The SOCG includes </w:t>
      </w:r>
      <w:r w:rsidR="003A7C81">
        <w:t xml:space="preserve">suggested </w:t>
      </w:r>
      <w:r w:rsidR="00FC7BB9">
        <w:t xml:space="preserve">modification of the numbering system used within policies.  For example, Policy PR1, in the submitted Plan, included criteria 1, 2 (a-c), 3 (a–g), whereas the modified policy in the SOCG contains 1, 2, 3, 4, 5(i-xi).  </w:t>
      </w:r>
      <w:r w:rsidR="00025E51">
        <w:t xml:space="preserve">I have not set out </w:t>
      </w:r>
      <w:r w:rsidR="008943BC">
        <w:t>specific modifications for each policy</w:t>
      </w:r>
      <w:r w:rsidR="00295FD4">
        <w:t xml:space="preserve"> to show the updated </w:t>
      </w:r>
      <w:r w:rsidR="0081618C">
        <w:t>Strategic P</w:t>
      </w:r>
      <w:r w:rsidR="00295FD4">
        <w:t xml:space="preserve">olicy </w:t>
      </w:r>
      <w:r w:rsidR="0081618C">
        <w:t>C</w:t>
      </w:r>
      <w:r w:rsidR="00295FD4">
        <w:t xml:space="preserve">ontext or </w:t>
      </w:r>
      <w:r w:rsidR="00595946">
        <w:t xml:space="preserve">new </w:t>
      </w:r>
      <w:r w:rsidR="00295FD4">
        <w:t>numbering systems.  However, I support the</w:t>
      </w:r>
      <w:r w:rsidR="008943BC">
        <w:t xml:space="preserve"> updates </w:t>
      </w:r>
      <w:r w:rsidR="00295FD4">
        <w:t>and am content for them to be</w:t>
      </w:r>
      <w:r w:rsidR="008943BC">
        <w:t xml:space="preserve"> made before the Plan proceeds to referendum</w:t>
      </w:r>
      <w:r w:rsidR="00A5378B">
        <w:t>s</w:t>
      </w:r>
      <w:r w:rsidR="00025E51">
        <w:t>,</w:t>
      </w:r>
      <w:r w:rsidR="00025E51" w:rsidRPr="00025E51">
        <w:t xml:space="preserve"> </w:t>
      </w:r>
      <w:r w:rsidR="00025E51">
        <w:t>to assist future readers and users of the FWNP</w:t>
      </w:r>
      <w:r w:rsidR="008943BC">
        <w:t>.</w:t>
      </w:r>
      <w:r w:rsidR="0043181A" w:rsidRPr="0085721A">
        <w:tab/>
      </w:r>
    </w:p>
    <w:p w14:paraId="79DEE172" w14:textId="77777777" w:rsidR="00D761ED" w:rsidRPr="004230BB" w:rsidRDefault="00D761ED" w:rsidP="008B0C58">
      <w:pPr>
        <w:jc w:val="left"/>
        <w:rPr>
          <w:iCs/>
          <w:u w:val="single"/>
        </w:rPr>
      </w:pPr>
    </w:p>
    <w:p w14:paraId="767BBB03" w14:textId="77777777" w:rsidR="00D761ED" w:rsidRPr="004230BB" w:rsidRDefault="00D761ED" w:rsidP="004230BB">
      <w:pPr>
        <w:ind w:firstLine="288"/>
        <w:jc w:val="left"/>
        <w:rPr>
          <w:iCs/>
          <w:u w:val="single"/>
        </w:rPr>
      </w:pPr>
      <w:r w:rsidRPr="004230BB">
        <w:rPr>
          <w:iCs/>
          <w:u w:val="single"/>
        </w:rPr>
        <w:t>Promoting Regeneration</w:t>
      </w:r>
    </w:p>
    <w:p w14:paraId="03C251D0" w14:textId="77777777" w:rsidR="00D761ED" w:rsidRPr="004230BB" w:rsidRDefault="00D761ED" w:rsidP="008B0C58">
      <w:pPr>
        <w:jc w:val="left"/>
        <w:rPr>
          <w:iCs/>
          <w:u w:val="single"/>
        </w:rPr>
      </w:pPr>
    </w:p>
    <w:p w14:paraId="50C94572" w14:textId="5E28D1FC" w:rsidR="00D761ED" w:rsidRDefault="00D761ED" w:rsidP="008B0C58">
      <w:pPr>
        <w:ind w:left="720" w:hanging="720"/>
        <w:jc w:val="left"/>
      </w:pPr>
      <w:r>
        <w:t xml:space="preserve">4.11 </w:t>
      </w:r>
      <w:r w:rsidR="00015BA5">
        <w:tab/>
      </w:r>
      <w:r>
        <w:t>Policy PR1</w:t>
      </w:r>
      <w:r w:rsidR="00D36E01">
        <w:t>:</w:t>
      </w:r>
      <w:r>
        <w:t xml:space="preserve"> Promoting Regeneration addresses the redevelopment or extension of existing buildings, and </w:t>
      </w:r>
      <w:r w:rsidR="00C75EAD">
        <w:t xml:space="preserve">a number of comments proposing modifications to it were made in Regulation 16 consultation responses.  I consider that the proposed changes to the policy, put forward in the SOCG, </w:t>
      </w:r>
      <w:r w:rsidR="00595946">
        <w:t xml:space="preserve">to </w:t>
      </w:r>
      <w:r w:rsidR="00C75EAD">
        <w:t xml:space="preserve">refer to “refurbishment” as well as redevelopment or extension, and to </w:t>
      </w:r>
      <w:r w:rsidR="00600861">
        <w:t>provide more detail about development affecting unlisted buildings of merit,</w:t>
      </w:r>
      <w:r w:rsidR="00C75EAD">
        <w:t xml:space="preserve"> should meet Historic England’s concerns</w:t>
      </w:r>
      <w:r w:rsidR="00600861">
        <w:t>.  The proposed changes also clarify the importance of preserving or enhancing the settings of listed buildings and add</w:t>
      </w:r>
      <w:r w:rsidR="007E463F">
        <w:t>s</w:t>
      </w:r>
      <w:r w:rsidR="00600861">
        <w:t xml:space="preserve"> a reference to Conservation Area Audits</w:t>
      </w:r>
      <w:r w:rsidR="00595946">
        <w:t>.  These modifications are necessary</w:t>
      </w:r>
      <w:r w:rsidR="00600861">
        <w:t xml:space="preserve"> so that Policy PR1 </w:t>
      </w:r>
      <w:r w:rsidR="00595946">
        <w:t>has</w:t>
      </w:r>
      <w:r w:rsidR="00600861">
        <w:t xml:space="preserve"> regard for national policy to conserve the historic environment. </w:t>
      </w:r>
      <w:r w:rsidR="00C75EAD">
        <w:t xml:space="preserve"> </w:t>
      </w:r>
      <w:r w:rsidR="00025E51">
        <w:t>The SOCG also proposes to delete the reference to “ventilation shafts” and insert “ducting, air filtration” in 2c</w:t>
      </w:r>
      <w:r w:rsidR="006F3489">
        <w:t>.</w:t>
      </w:r>
      <w:r w:rsidR="00025E51">
        <w:t xml:space="preserve"> of the policy.  This modification </w:t>
      </w:r>
      <w:r w:rsidR="00344443">
        <w:t>w</w:t>
      </w:r>
      <w:r w:rsidR="00025E51">
        <w:t>as proposed by Clean Air in London, and I support it to contribute to the achievement of sustainable development.</w:t>
      </w:r>
      <w:r w:rsidR="005E62C0">
        <w:t xml:space="preserve">  </w:t>
      </w:r>
      <w:r w:rsidR="00ED17FB">
        <w:t>Clean Air in London</w:t>
      </w:r>
      <w:r w:rsidR="006970ED">
        <w:t xml:space="preserve"> al</w:t>
      </w:r>
      <w:r w:rsidR="00ED17FB">
        <w:t>s</w:t>
      </w:r>
      <w:r w:rsidR="006970ED">
        <w:t>o</w:t>
      </w:r>
      <w:r w:rsidR="00ED17FB">
        <w:t xml:space="preserve"> </w:t>
      </w:r>
      <w:r w:rsidR="00A81FE7">
        <w:t>suggest</w:t>
      </w:r>
      <w:r w:rsidR="006970ED">
        <w:t>ed</w:t>
      </w:r>
      <w:r w:rsidR="00A81FE7">
        <w:t xml:space="preserve"> that 3f</w:t>
      </w:r>
      <w:r w:rsidR="006F3489">
        <w:t>.</w:t>
      </w:r>
      <w:r w:rsidR="00A81FE7">
        <w:t xml:space="preserve"> should refer to “worsening air quality”</w:t>
      </w:r>
      <w:r w:rsidR="006970ED">
        <w:t xml:space="preserve">, and the Forum indicated its support for this modification, in its response to my preliminary question in September 2020.  </w:t>
      </w:r>
      <w:r w:rsidR="00A81FE7">
        <w:t xml:space="preserve"> </w:t>
      </w:r>
      <w:r w:rsidR="006970ED">
        <w:t>Although not</w:t>
      </w:r>
      <w:r w:rsidR="00A81FE7">
        <w:t xml:space="preserve"> included in the SOCG’s proposed modifications to Policy PR1, </w:t>
      </w:r>
      <w:r w:rsidR="006970ED">
        <w:t xml:space="preserve">I consider that “worsening air quality” should be referenced in clause 5vii. </w:t>
      </w:r>
      <w:r w:rsidR="006F3489">
        <w:t xml:space="preserve"> </w:t>
      </w:r>
      <w:r w:rsidR="006970ED">
        <w:t xml:space="preserve">Also, </w:t>
      </w:r>
      <w:r w:rsidR="00A81FE7">
        <w:t>a new c</w:t>
      </w:r>
      <w:r w:rsidR="000F4E14">
        <w:t>lause,</w:t>
      </w:r>
      <w:r w:rsidR="00A81FE7">
        <w:t xml:space="preserve"> 5v</w:t>
      </w:r>
      <w:r w:rsidR="000F4E14">
        <w:t>,</w:t>
      </w:r>
      <w:r w:rsidR="00A81FE7">
        <w:t xml:space="preserve"> requiring developments of 500sqm or more to achieve BREEAM “excellent”</w:t>
      </w:r>
      <w:r w:rsidR="000F4E14">
        <w:t>,</w:t>
      </w:r>
      <w:r w:rsidR="00A81FE7">
        <w:t xml:space="preserve"> or equivalent standards</w:t>
      </w:r>
      <w:r w:rsidR="000F4E14">
        <w:t>,</w:t>
      </w:r>
      <w:r w:rsidR="006970ED">
        <w:t xml:space="preserve"> should be included in Policy PR1.  I am satisfied that these modifications</w:t>
      </w:r>
      <w:r w:rsidR="00F266F5">
        <w:t xml:space="preserve"> should enable</w:t>
      </w:r>
      <w:r w:rsidR="00344443">
        <w:t xml:space="preserve"> the policy </w:t>
      </w:r>
      <w:r w:rsidR="00F266F5">
        <w:t>to</w:t>
      </w:r>
      <w:r w:rsidR="00344443">
        <w:t xml:space="preserve"> </w:t>
      </w:r>
      <w:r w:rsidR="00A81FE7">
        <w:t>contribute to the achievement of sustainable development.</w:t>
      </w:r>
    </w:p>
    <w:p w14:paraId="5479F8AF" w14:textId="77777777" w:rsidR="00A81FE7" w:rsidRDefault="00A81FE7" w:rsidP="008B0C58">
      <w:pPr>
        <w:jc w:val="left"/>
      </w:pPr>
    </w:p>
    <w:p w14:paraId="66463C58" w14:textId="393549FF" w:rsidR="00344443" w:rsidRDefault="00A81FE7" w:rsidP="008B0C58">
      <w:pPr>
        <w:ind w:left="720" w:hanging="720"/>
        <w:jc w:val="left"/>
      </w:pPr>
      <w:r>
        <w:t xml:space="preserve">4.12 </w:t>
      </w:r>
      <w:r w:rsidR="00015BA5">
        <w:tab/>
      </w:r>
      <w:r>
        <w:t>A number of respondents to the Reg</w:t>
      </w:r>
      <w:r w:rsidR="00D5171D">
        <w:t>ulation</w:t>
      </w:r>
      <w:r>
        <w:t xml:space="preserve"> 16 consultation exercise criticised Policy PR1 for being too restrictive towards new development and redevelopment projects.</w:t>
      </w:r>
      <w:r w:rsidR="008B007E">
        <w:t xml:space="preserve">  </w:t>
      </w:r>
      <w:r w:rsidR="006F3489">
        <w:t>Clause</w:t>
      </w:r>
      <w:r w:rsidR="008B007E">
        <w:t xml:space="preserve"> 2a. regarding unlisted buildings of merit expects original uses to be preserved or reinstated, but in some instances, it was argued, a change of use w</w:t>
      </w:r>
      <w:r w:rsidR="00D45C13">
        <w:t>ou</w:t>
      </w:r>
      <w:r w:rsidR="008B007E">
        <w:t>l</w:t>
      </w:r>
      <w:r w:rsidR="00D45C13">
        <w:t>d</w:t>
      </w:r>
      <w:r w:rsidR="008B007E">
        <w:t xml:space="preserve"> be beneficial.  </w:t>
      </w:r>
      <w:r w:rsidR="002A409E">
        <w:t>The desirability of sustaining and enhancing heritage assets</w:t>
      </w:r>
      <w:r w:rsidR="008444C7">
        <w:t>, it was contended,</w:t>
      </w:r>
      <w:r w:rsidR="002A409E">
        <w:t xml:space="preserve"> </w:t>
      </w:r>
      <w:r w:rsidR="002A409E">
        <w:lastRenderedPageBreak/>
        <w:t xml:space="preserve">needs to be taken into consideration alongside the desirability of new development which can make a positive contribution to local character and distinctiveness.  </w:t>
      </w:r>
      <w:r w:rsidR="006F3489">
        <w:t>Clause</w:t>
      </w:r>
      <w:r w:rsidR="00344443">
        <w:t xml:space="preserve"> 2b. </w:t>
      </w:r>
      <w:r w:rsidR="008444C7">
        <w:t xml:space="preserve">of Policy PR1 </w:t>
      </w:r>
      <w:r w:rsidR="00344443">
        <w:t>aims to restrict the addition of new storeys or Mansard roofs</w:t>
      </w:r>
      <w:r w:rsidR="008444C7">
        <w:t>,</w:t>
      </w:r>
      <w:r w:rsidR="00344443">
        <w:t xml:space="preserve"> unless there is a “precedent” in adjacent buildings.  This was perceived as likely to prevent the effective use of land within Fitzrovia for additional commercial or residential development.  </w:t>
      </w:r>
      <w:r w:rsidR="008444C7">
        <w:t>It was suggested that such proposals should be assessed on a case-by-case basis.</w:t>
      </w:r>
    </w:p>
    <w:p w14:paraId="2F85F5F4" w14:textId="77777777" w:rsidR="00344443" w:rsidRDefault="00344443" w:rsidP="008B0C58">
      <w:pPr>
        <w:jc w:val="left"/>
      </w:pPr>
    </w:p>
    <w:p w14:paraId="41396064" w14:textId="785A7217" w:rsidR="00A81FE7" w:rsidRDefault="00344443" w:rsidP="008B0C58">
      <w:pPr>
        <w:ind w:left="720" w:hanging="720"/>
        <w:jc w:val="left"/>
      </w:pPr>
      <w:r>
        <w:t xml:space="preserve">4.13 </w:t>
      </w:r>
      <w:r w:rsidR="00015BA5">
        <w:tab/>
      </w:r>
      <w:r w:rsidR="006F3489">
        <w:t>Clause</w:t>
      </w:r>
      <w:r w:rsidR="008B007E">
        <w:t xml:space="preserve"> 3d. expects all approved housing tenures to be provided on site, but experienced developers </w:t>
      </w:r>
      <w:r w:rsidR="006F3489">
        <w:t>argued</w:t>
      </w:r>
      <w:r w:rsidR="008B007E">
        <w:t xml:space="preserve"> that including affordable housing on site within developments could render schemes unviable</w:t>
      </w:r>
      <w:r w:rsidR="00D45C13">
        <w:t>.  It was pointed out that</w:t>
      </w:r>
      <w:r w:rsidR="008B007E">
        <w:t xml:space="preserve"> a payment in lieu principle ha</w:t>
      </w:r>
      <w:r w:rsidR="00D45C13">
        <w:t>d</w:t>
      </w:r>
      <w:r w:rsidR="008B007E">
        <w:t xml:space="preserve"> been accepted </w:t>
      </w:r>
      <w:r w:rsidR="00D45C13">
        <w:t xml:space="preserve">in recent developments in the area.  </w:t>
      </w:r>
      <w:r w:rsidR="006F3489">
        <w:t>Clause</w:t>
      </w:r>
      <w:r w:rsidR="00D45C13">
        <w:t xml:space="preserve"> 3g. was also criticised for being too restrictive because it requires no loss of daylight or sunlight to adjoining occupants</w:t>
      </w:r>
      <w:r w:rsidR="002A409E">
        <w:t>, and no increase in ambient noise levels</w:t>
      </w:r>
      <w:r w:rsidR="00D45C13">
        <w:t>.  Th</w:t>
      </w:r>
      <w:r w:rsidR="008444C7">
        <w:t>ere is</w:t>
      </w:r>
      <w:r w:rsidR="00D45C13">
        <w:t xml:space="preserve"> conflict with BRE (</w:t>
      </w:r>
      <w:r w:rsidR="002A409E">
        <w:t>B</w:t>
      </w:r>
      <w:r w:rsidR="00D45C13">
        <w:t xml:space="preserve">uilding Research Establishment) guidance which acknowledges that schemes may have an impact on the sunlight or daylight of </w:t>
      </w:r>
      <w:r w:rsidR="007E463F">
        <w:t>neighbours but</w:t>
      </w:r>
      <w:r w:rsidR="00D45C13">
        <w:t xml:space="preserve"> indicates at what level an impact becomes unacceptable. </w:t>
      </w:r>
      <w:r w:rsidR="0042127E">
        <w:t xml:space="preserve"> WCC expressed its broad support for the aims of the proposed urban design and conservation policy (Policy PR1) but advised that “the wording and arrangement are not clear and </w:t>
      </w:r>
      <w:r w:rsidR="001E153E">
        <w:t>appear</w:t>
      </w:r>
      <w:r w:rsidR="00F266F5">
        <w:t>(</w:t>
      </w:r>
      <w:r w:rsidR="001E153E">
        <w:t>s</w:t>
      </w:r>
      <w:r w:rsidR="00F266F5">
        <w:t>)</w:t>
      </w:r>
      <w:r w:rsidR="001E153E">
        <w:t xml:space="preserve"> incomplete”.  In addition, WCC indicated that some parts of the policy were already covered by the emerging City Plan and need not be repeated</w:t>
      </w:r>
      <w:r w:rsidR="00F66A4B">
        <w:t>;</w:t>
      </w:r>
      <w:r w:rsidR="001E153E">
        <w:t xml:space="preserve"> o</w:t>
      </w:r>
      <w:r w:rsidR="00F66A4B">
        <w:t>the</w:t>
      </w:r>
      <w:r w:rsidR="001E153E">
        <w:t>r</w:t>
      </w:r>
      <w:r w:rsidR="00F66A4B">
        <w:t>s, it was alleged,</w:t>
      </w:r>
      <w:r w:rsidR="001E153E">
        <w:t xml:space="preserve"> were not in conformity with it (notably </w:t>
      </w:r>
      <w:r w:rsidR="006F3489">
        <w:t>clause</w:t>
      </w:r>
      <w:r w:rsidR="001E153E">
        <w:t xml:space="preserve"> 3g. - no loss of sunlight or daylight).</w:t>
      </w:r>
    </w:p>
    <w:p w14:paraId="5133B27F" w14:textId="77777777" w:rsidR="001E153E" w:rsidRDefault="001E153E" w:rsidP="008B0C58">
      <w:pPr>
        <w:jc w:val="left"/>
      </w:pPr>
    </w:p>
    <w:p w14:paraId="475387A1" w14:textId="30D5A3EC" w:rsidR="00EE0146" w:rsidRPr="00E23104" w:rsidRDefault="001E153E" w:rsidP="008B0C58">
      <w:pPr>
        <w:ind w:left="720" w:hanging="720"/>
        <w:jc w:val="left"/>
      </w:pPr>
      <w:r>
        <w:t xml:space="preserve">4.14 </w:t>
      </w:r>
      <w:r w:rsidR="00015BA5">
        <w:tab/>
      </w:r>
      <w:r>
        <w:t>Table 3 of the SOCG includes modification</w:t>
      </w:r>
      <w:r w:rsidR="00EE0146">
        <w:t>s</w:t>
      </w:r>
      <w:r>
        <w:t xml:space="preserve"> to Policy PR1 </w:t>
      </w:r>
      <w:r w:rsidR="00F266F5">
        <w:t xml:space="preserve">to clarify the approach to </w:t>
      </w:r>
      <w:r w:rsidR="00103327">
        <w:t xml:space="preserve">proposals for tall buildings, with a reference to the Glossary </w:t>
      </w:r>
      <w:r w:rsidR="000A5940">
        <w:t>which it is proposed to refresh, with a</w:t>
      </w:r>
      <w:r w:rsidR="00103327">
        <w:t xml:space="preserve"> definition taken from the emerging </w:t>
      </w:r>
      <w:r w:rsidR="00B4579D">
        <w:t xml:space="preserve">Westminster City </w:t>
      </w:r>
      <w:r w:rsidR="00103327">
        <w:t xml:space="preserve">Plan.  </w:t>
      </w:r>
      <w:r w:rsidR="006F3489">
        <w:t xml:space="preserve">Modified clause 5iii. allows for more flexibility over the demolition and replacement of buildings.  Clause 5iv </w:t>
      </w:r>
      <w:r w:rsidR="00E7494B">
        <w:t>retains the aim for affordable housing to be provided on development sites but allows for off-site provision in exceptional circumstances</w:t>
      </w:r>
      <w:r w:rsidR="006D54AE">
        <w:t>,</w:t>
      </w:r>
      <w:r w:rsidR="00E7494B">
        <w:t xml:space="preserve"> as long as it is located within Fitzrovia West.  I consider that this modification should meet the Forum’s ambition to maintain a mix of housing tenures and provide for those unable to afford market housing.  </w:t>
      </w:r>
      <w:r w:rsidR="00103327">
        <w:t>A proposed new criterion xi confirms that courtyards, passageways and mews should be protected</w:t>
      </w:r>
      <w:r w:rsidR="00F66A4B">
        <w:t>,</w:t>
      </w:r>
      <w:r w:rsidR="00103327">
        <w:t xml:space="preserve"> as they contribute to the historic character of the area.  I support these modifications which have regard for national policy and should contribute to the achievement of sustainable development.  All the modifications to Policy PR1 in Table 3</w:t>
      </w:r>
      <w:r>
        <w:t>, in my opinion, address the concerns raised in the Reg</w:t>
      </w:r>
      <w:r w:rsidR="00D5171D">
        <w:t>ulation</w:t>
      </w:r>
      <w:r>
        <w:t xml:space="preserve"> 16 consultation responses and </w:t>
      </w:r>
      <w:r w:rsidR="008444C7">
        <w:t xml:space="preserve">should </w:t>
      </w:r>
      <w:r w:rsidR="00EE0146">
        <w:t>result in</w:t>
      </w:r>
      <w:r w:rsidR="00AC15B9">
        <w:t xml:space="preserve"> a </w:t>
      </w:r>
      <w:r w:rsidR="00F266F5">
        <w:t xml:space="preserve">less restrictive </w:t>
      </w:r>
      <w:r w:rsidR="00AC15B9">
        <w:t xml:space="preserve">policy which has regard for national planning policy, guiding development towards sustainable solutions (paragraph 9 of the NPPF), and should align with the draft London Plan and emerging Westminster City Plan.  </w:t>
      </w:r>
      <w:r w:rsidR="00AC15B9">
        <w:rPr>
          <w:b/>
        </w:rPr>
        <w:t>PM4</w:t>
      </w:r>
      <w:r w:rsidR="00EE0146">
        <w:rPr>
          <w:b/>
        </w:rPr>
        <w:t xml:space="preserve"> </w:t>
      </w:r>
      <w:r w:rsidR="00EE0146">
        <w:t>should be made accordingly</w:t>
      </w:r>
      <w:r w:rsidR="008444C7">
        <w:t>,</w:t>
      </w:r>
      <w:r w:rsidR="00EE0146">
        <w:t xml:space="preserve"> to modify Policy PR1 Promoting Regeneration</w:t>
      </w:r>
      <w:r w:rsidR="000A5940">
        <w:t xml:space="preserve"> and </w:t>
      </w:r>
      <w:r w:rsidR="00360C34">
        <w:t xml:space="preserve">to </w:t>
      </w:r>
      <w:r w:rsidR="000A5940">
        <w:t>update the Glossary in Appendix 6 on Tall Buildings.</w:t>
      </w:r>
      <w:r>
        <w:t xml:space="preserve"> </w:t>
      </w:r>
    </w:p>
    <w:p w14:paraId="6A870EFE" w14:textId="77777777" w:rsidR="00344443" w:rsidRDefault="00344443" w:rsidP="008B0C58">
      <w:pPr>
        <w:jc w:val="left"/>
      </w:pPr>
    </w:p>
    <w:p w14:paraId="5A570881" w14:textId="11BB1EA2" w:rsidR="00147CDC" w:rsidRDefault="00344443" w:rsidP="008B0C58">
      <w:pPr>
        <w:ind w:left="720" w:hanging="720"/>
        <w:jc w:val="left"/>
      </w:pPr>
      <w:r>
        <w:lastRenderedPageBreak/>
        <w:t>4.1</w:t>
      </w:r>
      <w:r w:rsidR="00EE0146">
        <w:t>5</w:t>
      </w:r>
      <w:r>
        <w:t xml:space="preserve"> </w:t>
      </w:r>
      <w:r w:rsidR="00015BA5">
        <w:tab/>
      </w:r>
      <w:r w:rsidR="007039C7">
        <w:t>The supporting text in paragraphs 5.10 to 5.14 states that the Plan area has always had a vibrant and mixed community of residents living in a variety of tenures.  There is a continuing need for affordable housing</w:t>
      </w:r>
      <w:r w:rsidR="000127F9">
        <w:t>, as the average 10 year waiting period for a 2-bed flat in Westminster indicates,</w:t>
      </w:r>
      <w:r w:rsidR="007039C7">
        <w:t xml:space="preserve"> </w:t>
      </w:r>
      <w:r w:rsidR="000127F9">
        <w:t xml:space="preserve">and a desire to maintain the provision of housing for permanent residents.  The risks to the local community from the growth of “buy to rent” accommodation and short-term letting, as well as new developments with a high proportion of expensive apartments, often left vacant for long periods, are explained.  Policy PR2 seeks to protect existing dwellings from changes of use and to encourage new housing development, especially affordable housing. </w:t>
      </w:r>
      <w:r w:rsidR="00147CDC">
        <w:t xml:space="preserve"> </w:t>
      </w:r>
      <w:r w:rsidR="007B6083">
        <w:t xml:space="preserve">The Mayor of London expressed support for Policy PR2b. to limit the amount of single aspect dwellings, but advised that this should only be undertaken where design solutions aligned with the requirements of Policy D3B of the Intend to Publish London Plan.  </w:t>
      </w:r>
      <w:r w:rsidR="00147CDC">
        <w:t>Transport for London (TfL) welcomed and supported Policy PR2g. which states that off-street car parking should not be provided except for disabled persons as set out in higher tier plans.  However, it requested that the policy could go further, in line with the emerging Soho Neighbourhood Plan, to exclude residents of new development from eligibility for residents’ parking permits.</w:t>
      </w:r>
    </w:p>
    <w:p w14:paraId="57EE1BB9" w14:textId="77777777" w:rsidR="00147CDC" w:rsidRDefault="00147CDC" w:rsidP="008B0C58">
      <w:pPr>
        <w:jc w:val="left"/>
      </w:pPr>
    </w:p>
    <w:p w14:paraId="64AA6065" w14:textId="5292F8C1" w:rsidR="002E25FA" w:rsidRDefault="00147CDC" w:rsidP="008B0C58">
      <w:pPr>
        <w:ind w:left="720" w:hanging="720"/>
        <w:jc w:val="left"/>
      </w:pPr>
      <w:r>
        <w:t xml:space="preserve">4.16 </w:t>
      </w:r>
      <w:r w:rsidR="00015BA5">
        <w:tab/>
      </w:r>
      <w:r w:rsidR="00E6551F">
        <w:t>For the Berners-Allsopp Estate</w:t>
      </w:r>
      <w:r w:rsidR="00BC1167">
        <w:t xml:space="preserve"> and Shaftesbury PLC</w:t>
      </w:r>
      <w:r w:rsidR="00E6551F">
        <w:t xml:space="preserve">, it was argued that Policy PR2f. goes beyond the adopted London Plan and National Space Standards in seeking refuse storage and related facilities’ space.  It was also claimed that it would be too restrictive to ensure that all newly constructed housing was occupied as a “principal residence” (Policy PR2h.), and difficult for WCC to monitor and enforce.  </w:t>
      </w:r>
      <w:r w:rsidR="007B6083">
        <w:t xml:space="preserve">WCC agreed with this point.  </w:t>
      </w:r>
      <w:r w:rsidR="00E6551F">
        <w:t xml:space="preserve">On Policy PR2j., </w:t>
      </w:r>
      <w:r w:rsidR="00BC1167">
        <w:t xml:space="preserve">it was pointed out that Building for Life 12 has been superseded by the London Plan and National Space Standards, so that it would be onerous for developers to </w:t>
      </w:r>
      <w:r w:rsidR="00F66A4B">
        <w:t xml:space="preserve">have to </w:t>
      </w:r>
      <w:r w:rsidR="00BC1167">
        <w:t>follow additional design guidance.</w:t>
      </w:r>
      <w:r w:rsidR="007B6083">
        <w:t xml:space="preserve">  </w:t>
      </w:r>
    </w:p>
    <w:p w14:paraId="7740FAE0" w14:textId="77777777" w:rsidR="002E25FA" w:rsidRDefault="002E25FA" w:rsidP="008B0C58">
      <w:pPr>
        <w:jc w:val="left"/>
      </w:pPr>
    </w:p>
    <w:p w14:paraId="12E54AB4" w14:textId="1A75F95B" w:rsidR="00344443" w:rsidRDefault="002E25FA" w:rsidP="008B0C58">
      <w:pPr>
        <w:ind w:left="720" w:hanging="720"/>
        <w:jc w:val="left"/>
      </w:pPr>
      <w:r>
        <w:t xml:space="preserve">4.17 </w:t>
      </w:r>
      <w:r w:rsidR="00015BA5">
        <w:tab/>
      </w:r>
      <w:r w:rsidR="007B6083">
        <w:t>The SOCG’s Table 3</w:t>
      </w:r>
      <w:r>
        <w:t xml:space="preserve"> includes a modified Policy PR2 which softens the line on “single aspect housing”</w:t>
      </w:r>
      <w:r w:rsidR="00E7494B">
        <w:t xml:space="preserve"> </w:t>
      </w:r>
      <w:r w:rsidR="000A5940">
        <w:t xml:space="preserve">and </w:t>
      </w:r>
      <w:r w:rsidR="002E53C4">
        <w:t>clarifies that new development should not provide new car parking except for disabled persons</w:t>
      </w:r>
      <w:r w:rsidR="000A5940">
        <w:t>.</w:t>
      </w:r>
      <w:r w:rsidR="002E53C4">
        <w:t xml:space="preserve">  </w:t>
      </w:r>
      <w:r w:rsidR="000A5940">
        <w:t xml:space="preserve">It </w:t>
      </w:r>
      <w:r w:rsidR="002E53C4">
        <w:t>deletes the reference to occupancy as a “principal residence”</w:t>
      </w:r>
      <w:r w:rsidR="000A5940">
        <w:t xml:space="preserve"> in the policy, along with paragraph 5.21</w:t>
      </w:r>
      <w:r w:rsidR="002E53C4">
        <w:t xml:space="preserve">.  I consider that these modifications address the points of concern raised and should be made so that the Plan contributes to the achievement of sustainable development.  Additional modifications to clarify the amount of affordable housing that will be sought on major development schemes, and to deter gated forms of housing development should be made to align with the emerging Westminster City Plan.  </w:t>
      </w:r>
      <w:r w:rsidR="00D176A7">
        <w:t xml:space="preserve">The SOCG highlights the differing opinions on </w:t>
      </w:r>
      <w:r w:rsidR="00E7494B">
        <w:t>clause</w:t>
      </w:r>
      <w:r w:rsidR="00D176A7">
        <w:t xml:space="preserve"> 2f. regarding the provision of refuse storage and other related facilities.  Modified wording is included in Policy PR2 vi. and I consider that this allows for more flexibility, especially as it raises the threshold for “additional community meeting and/or storage space” to 10 dwellings.  </w:t>
      </w:r>
      <w:r w:rsidR="00A16195">
        <w:t>However, a</w:t>
      </w:r>
      <w:r w:rsidR="00D176A7">
        <w:t xml:space="preserve">s </w:t>
      </w:r>
      <w:r w:rsidR="00A16195">
        <w:t xml:space="preserve">Policy 38 in the emerging City Plan already sets requirements for waste facilities, and paragraph 18.4 addresses </w:t>
      </w:r>
      <w:r w:rsidR="004C5278">
        <w:t xml:space="preserve">new </w:t>
      </w:r>
      <w:r w:rsidR="00A16195">
        <w:t xml:space="preserve">community </w:t>
      </w:r>
      <w:r w:rsidR="004C5278">
        <w:t>infrastructure, I consider that c</w:t>
      </w:r>
      <w:r w:rsidR="00F66A4B">
        <w:t>lause</w:t>
      </w:r>
      <w:r w:rsidR="004C5278">
        <w:t xml:space="preserve"> vi (f. in the submitted FWNP) should be deleted</w:t>
      </w:r>
      <w:r w:rsidR="00D176A7">
        <w:t xml:space="preserve">.  I therefore </w:t>
      </w:r>
      <w:r w:rsidR="00D176A7">
        <w:lastRenderedPageBreak/>
        <w:t xml:space="preserve">recommend that Policy PR2 </w:t>
      </w:r>
      <w:r w:rsidR="00361897">
        <w:t xml:space="preserve">and the supporting text </w:t>
      </w:r>
      <w:r w:rsidR="00D176A7">
        <w:t>is modified as set out in the SOCG</w:t>
      </w:r>
      <w:r w:rsidR="004C5278">
        <w:t xml:space="preserve"> </w:t>
      </w:r>
      <w:r w:rsidR="00D176A7">
        <w:t>(</w:t>
      </w:r>
      <w:r w:rsidR="004C5278">
        <w:t>without</w:t>
      </w:r>
      <w:r w:rsidR="00D176A7">
        <w:t xml:space="preserve"> the modified c</w:t>
      </w:r>
      <w:r w:rsidR="00361897">
        <w:t>lause</w:t>
      </w:r>
      <w:r w:rsidR="00D176A7">
        <w:t xml:space="preserve"> vi) </w:t>
      </w:r>
      <w:r w:rsidR="00FC7BB9">
        <w:t>and</w:t>
      </w:r>
      <w:r w:rsidR="00361897">
        <w:t xml:space="preserve"> as shown in </w:t>
      </w:r>
      <w:r w:rsidR="00FC7BB9">
        <w:rPr>
          <w:b/>
        </w:rPr>
        <w:t xml:space="preserve">PM5, </w:t>
      </w:r>
      <w:r w:rsidR="00D176A7">
        <w:t xml:space="preserve">so that the </w:t>
      </w:r>
      <w:r w:rsidR="00477F81">
        <w:t>B</w:t>
      </w:r>
      <w:r w:rsidR="00D176A7">
        <w:t xml:space="preserve">asic </w:t>
      </w:r>
      <w:r w:rsidR="00477F81">
        <w:t>C</w:t>
      </w:r>
      <w:r w:rsidR="00D176A7">
        <w:t>onditions for neighbourhood planning are met.</w:t>
      </w:r>
      <w:r w:rsidR="002E53C4">
        <w:t xml:space="preserve"> </w:t>
      </w:r>
      <w:r w:rsidR="007B6083">
        <w:t xml:space="preserve"> </w:t>
      </w:r>
    </w:p>
    <w:p w14:paraId="016FA174" w14:textId="77777777" w:rsidR="00E23104" w:rsidRDefault="00E23104" w:rsidP="008B0C58">
      <w:pPr>
        <w:jc w:val="left"/>
      </w:pPr>
    </w:p>
    <w:p w14:paraId="32918C40" w14:textId="68B7AEFC" w:rsidR="00E23104" w:rsidRDefault="00E23104" w:rsidP="008B0C58">
      <w:pPr>
        <w:ind w:left="720" w:hanging="720"/>
        <w:jc w:val="left"/>
      </w:pPr>
      <w:r>
        <w:t xml:space="preserve">4.18 </w:t>
      </w:r>
      <w:r w:rsidR="00015BA5">
        <w:tab/>
      </w:r>
      <w:r>
        <w:t xml:space="preserve">Policy PR3: Tourism, Arts, Culture and Entertainment Uses supports growth in this sector, but </w:t>
      </w:r>
      <w:r w:rsidR="005B22E9">
        <w:t xml:space="preserve">also </w:t>
      </w:r>
      <w:r>
        <w:t>wishes to protect the residential</w:t>
      </w:r>
      <w:r w:rsidR="001F33EC">
        <w:t xml:space="preserve"> a</w:t>
      </w:r>
      <w:r>
        <w:t xml:space="preserve">reas from </w:t>
      </w:r>
      <w:r w:rsidR="001F33EC">
        <w:t xml:space="preserve">late-night noise, excess refuse, traffic congestion and other nuisance.  WCC commented that no explanation was given as to why the 500sqm threshold, referenced in clause 1, should prevail.  Clause 2 was seen as more restrictive than the emerging City Plan in seeking to protect A1 uses.  Clause 3 was perceived as </w:t>
      </w:r>
      <w:r w:rsidR="00692DA1">
        <w:t>ambiguou</w:t>
      </w:r>
      <w:r w:rsidR="001F33EC">
        <w:t>s</w:t>
      </w:r>
      <w:r w:rsidR="00692DA1">
        <w:t>,</w:t>
      </w:r>
      <w:r w:rsidR="001F33EC">
        <w:t xml:space="preserve"> and not needed because Policies 7 and 34 of the emerging </w:t>
      </w:r>
      <w:r w:rsidR="00E16962">
        <w:t>City Plan</w:t>
      </w:r>
      <w:r w:rsidR="001F33EC">
        <w:t xml:space="preserve"> </w:t>
      </w:r>
      <w:r w:rsidR="00692DA1">
        <w:t>would provide appropriate protection against harm from “tourism and entertainment uses”.</w:t>
      </w:r>
      <w:r w:rsidR="001F33EC">
        <w:t xml:space="preserve"> </w:t>
      </w:r>
      <w:r w:rsidR="00692DA1">
        <w:t xml:space="preserve"> Regarding clause 5, WCC suggested that a cross-reference should be added to its two metre “pedestrian clean zone” approach and the matter of “A” boards be moved to the supporting text, to distinguish advertisement control from planning p</w:t>
      </w:r>
      <w:r w:rsidR="0081618C">
        <w:t>ermissions</w:t>
      </w:r>
      <w:r w:rsidR="00692DA1">
        <w:t xml:space="preserve">.  Although WCC commented that clause 4 was unnecessary because the “Agent of Change” principle is covered by Policy D13 of the emerging (Intend to Publish) London Plan, the Mayor of London </w:t>
      </w:r>
      <w:r w:rsidR="005B22E9">
        <w:t xml:space="preserve">was clear that Policy PR3 would benefit from its inclusion.  It places responsibility for mitigating harmful noise and nuisance effects on the proposed development.  </w:t>
      </w:r>
      <w:r w:rsidR="0089775D">
        <w:t xml:space="preserve">Shaftesbury PLC commented that it could be difficult to enforce clause 5 as </w:t>
      </w:r>
      <w:r w:rsidR="00360C34">
        <w:t>C</w:t>
      </w:r>
      <w:r w:rsidR="0089775D">
        <w:t xml:space="preserve">ovid-19 </w:t>
      </w:r>
      <w:r w:rsidR="00C6444F">
        <w:t xml:space="preserve">has </w:t>
      </w:r>
      <w:r w:rsidR="0089775D">
        <w:t>led to more shops and restaurants using space outside, including on the public highways.</w:t>
      </w:r>
    </w:p>
    <w:p w14:paraId="14BE3411" w14:textId="77777777" w:rsidR="0089775D" w:rsidRDefault="0089775D" w:rsidP="008B0C58">
      <w:pPr>
        <w:jc w:val="left"/>
      </w:pPr>
    </w:p>
    <w:p w14:paraId="5FE033B9" w14:textId="211FD283" w:rsidR="0089775D" w:rsidRDefault="0089775D" w:rsidP="008B0C58">
      <w:pPr>
        <w:ind w:left="720" w:hanging="720"/>
        <w:jc w:val="left"/>
      </w:pPr>
      <w:r>
        <w:t xml:space="preserve">4.19 </w:t>
      </w:r>
      <w:r w:rsidR="00015BA5">
        <w:tab/>
      </w:r>
      <w:r>
        <w:t xml:space="preserve">The SOCG includes </w:t>
      </w:r>
      <w:r w:rsidR="00477F81">
        <w:t xml:space="preserve">suggested </w:t>
      </w:r>
      <w:r>
        <w:t>modifications to Policy PR3 which remove the reference to new tourism and entertainment uses of 50</w:t>
      </w:r>
      <w:r w:rsidR="00C6444F">
        <w:t>0</w:t>
      </w:r>
      <w:r>
        <w:t xml:space="preserve">sqm or more, </w:t>
      </w:r>
      <w:r w:rsidR="00C6444F">
        <w:t xml:space="preserve">remove the reference to loss of A1 uses, </w:t>
      </w:r>
      <w:r>
        <w:t>clarify the reference to the West End Retail and Leisure Special Policy Area (WERLSPA), simpl</w:t>
      </w:r>
      <w:r w:rsidR="00C6444F">
        <w:t>if</w:t>
      </w:r>
      <w:r>
        <w:t xml:space="preserve">y clause 3iii so that </w:t>
      </w:r>
      <w:r w:rsidR="00C6444F">
        <w:t>the amenity of residents and other users is not harmed,</w:t>
      </w:r>
      <w:r w:rsidR="00CA0471">
        <w:t xml:space="preserve"> and remove the reference to “A” boards in clause 5v.</w:t>
      </w:r>
      <w:r w:rsidR="00C6444F">
        <w:t xml:space="preserve">  </w:t>
      </w:r>
      <w:r w:rsidR="00CA0471">
        <w:t xml:space="preserve">Conditions to control </w:t>
      </w:r>
      <w:r w:rsidR="00C6444F">
        <w:t>hours of opening and the use of external sound systems should reinfo</w:t>
      </w:r>
      <w:r w:rsidR="00DC14B8">
        <w:t>r</w:t>
      </w:r>
      <w:r w:rsidR="00C6444F">
        <w:t>ce the effectiveness of clause</w:t>
      </w:r>
      <w:r w:rsidR="00CA0471" w:rsidRPr="00CA0471">
        <w:t xml:space="preserve"> </w:t>
      </w:r>
      <w:r w:rsidR="00CA0471">
        <w:t xml:space="preserve">5v. in my view, and I support the proposed new sentence to explain this. </w:t>
      </w:r>
      <w:r w:rsidR="00C6444F">
        <w:t xml:space="preserve"> The modified Policy PR3</w:t>
      </w:r>
      <w:r w:rsidR="00B61D31">
        <w:t xml:space="preserve"> </w:t>
      </w:r>
      <w:r w:rsidR="00DC14B8">
        <w:t>(</w:t>
      </w:r>
      <w:r w:rsidR="00B61D31">
        <w:t>as set out in the SOCG</w:t>
      </w:r>
      <w:r w:rsidR="00DC14B8">
        <w:t>)</w:t>
      </w:r>
      <w:r w:rsidR="00514307">
        <w:t xml:space="preserve"> with change to paragraph 5.26</w:t>
      </w:r>
      <w:r w:rsidR="00667959">
        <w:t xml:space="preserve"> (</w:t>
      </w:r>
      <w:r w:rsidR="00C6444F">
        <w:t xml:space="preserve">as in </w:t>
      </w:r>
      <w:r w:rsidR="00C6444F">
        <w:rPr>
          <w:b/>
        </w:rPr>
        <w:t>PM6</w:t>
      </w:r>
      <w:r w:rsidR="00667959" w:rsidRPr="00B4579D">
        <w:t>)</w:t>
      </w:r>
      <w:r w:rsidR="00C6444F">
        <w:rPr>
          <w:b/>
        </w:rPr>
        <w:t xml:space="preserve"> </w:t>
      </w:r>
      <w:r w:rsidR="00C6444F" w:rsidRPr="00C6444F">
        <w:t xml:space="preserve">has regard for national policy, aligns with the emerging London and City Plans and should </w:t>
      </w:r>
      <w:r w:rsidR="00C6444F">
        <w:t>contribute to the achievement of sustainable development.</w:t>
      </w:r>
      <w:r w:rsidR="0081618C">
        <w:t xml:space="preserve">  I consider that </w:t>
      </w:r>
      <w:r w:rsidR="0081618C" w:rsidRPr="0081618C">
        <w:rPr>
          <w:b/>
        </w:rPr>
        <w:t>PM6</w:t>
      </w:r>
      <w:r w:rsidR="0081618C">
        <w:t xml:space="preserve"> should be made.</w:t>
      </w:r>
    </w:p>
    <w:p w14:paraId="372D239A" w14:textId="77777777" w:rsidR="00CA0471" w:rsidRDefault="00CA0471" w:rsidP="008B0C58">
      <w:pPr>
        <w:jc w:val="left"/>
      </w:pPr>
    </w:p>
    <w:p w14:paraId="59BB8F94" w14:textId="394C739D" w:rsidR="00CA0471" w:rsidRDefault="00CA0471" w:rsidP="008B0C58">
      <w:pPr>
        <w:ind w:left="720" w:hanging="720"/>
        <w:jc w:val="left"/>
      </w:pPr>
      <w:r>
        <w:t xml:space="preserve">4.20 </w:t>
      </w:r>
      <w:r w:rsidR="00015BA5">
        <w:tab/>
      </w:r>
      <w:r>
        <w:t xml:space="preserve">Policy PR4 </w:t>
      </w:r>
      <w:r w:rsidR="00204AA5">
        <w:t xml:space="preserve">may address matters already covered in the emerging City Plan, but I understand that retaining and, where possible, expanding community facilities </w:t>
      </w:r>
      <w:r w:rsidR="00B519BC">
        <w:t xml:space="preserve">has </w:t>
      </w:r>
      <w:r w:rsidR="00204AA5">
        <w:t>significan</w:t>
      </w:r>
      <w:r w:rsidR="00B519BC">
        <w:t>t value</w:t>
      </w:r>
      <w:r w:rsidR="00204AA5">
        <w:t xml:space="preserve"> for the residents and people who work in Fitzrovia West.  The SOCG put</w:t>
      </w:r>
      <w:r w:rsidR="00B519BC">
        <w:t>s</w:t>
      </w:r>
      <w:r w:rsidR="00204AA5">
        <w:t xml:space="preserve"> forward modifications to </w:t>
      </w:r>
      <w:r w:rsidR="00B519BC">
        <w:t xml:space="preserve">(i) </w:t>
      </w:r>
      <w:r w:rsidR="00204AA5">
        <w:t xml:space="preserve">remove the reference </w:t>
      </w:r>
      <w:r w:rsidR="00B519BC">
        <w:t xml:space="preserve">to Class D use from the policy, which I support having regard for the recent Government changes to </w:t>
      </w:r>
      <w:r w:rsidR="00FC527D">
        <w:t xml:space="preserve">the </w:t>
      </w:r>
      <w:r w:rsidR="00B519BC">
        <w:t xml:space="preserve">use classes, and (ii) allow some flexibility in the provision of replacement facilities by adding “as far as possible”.  Having regard for national policy and to support sustainable development, Policy PR4 should be modified, as shown in the SOCG and in </w:t>
      </w:r>
      <w:r w:rsidR="00B519BC" w:rsidRPr="00B519BC">
        <w:rPr>
          <w:b/>
        </w:rPr>
        <w:t>PM7</w:t>
      </w:r>
      <w:r w:rsidR="00B519BC">
        <w:t>.</w:t>
      </w:r>
    </w:p>
    <w:p w14:paraId="49F144A2" w14:textId="77777777" w:rsidR="00B519BC" w:rsidRPr="004230BB" w:rsidRDefault="00B519BC" w:rsidP="004230BB">
      <w:pPr>
        <w:ind w:firstLine="288"/>
        <w:jc w:val="left"/>
        <w:rPr>
          <w:iCs/>
          <w:u w:val="single"/>
        </w:rPr>
      </w:pPr>
      <w:r w:rsidRPr="004230BB">
        <w:rPr>
          <w:iCs/>
          <w:u w:val="single"/>
        </w:rPr>
        <w:lastRenderedPageBreak/>
        <w:t>Supporting Business Uses and Development</w:t>
      </w:r>
    </w:p>
    <w:p w14:paraId="47E2D225" w14:textId="77777777" w:rsidR="00B519BC" w:rsidRDefault="00B519BC" w:rsidP="008B0C58">
      <w:pPr>
        <w:jc w:val="left"/>
        <w:rPr>
          <w:i/>
        </w:rPr>
      </w:pPr>
    </w:p>
    <w:p w14:paraId="63A4A05E" w14:textId="2723BB80" w:rsidR="00715E1F" w:rsidRDefault="00B519BC" w:rsidP="008B0C58">
      <w:pPr>
        <w:ind w:left="720" w:hanging="720"/>
        <w:jc w:val="left"/>
      </w:pPr>
      <w:r w:rsidRPr="00495BA1">
        <w:t xml:space="preserve">4.21 </w:t>
      </w:r>
      <w:r w:rsidR="00015BA5">
        <w:tab/>
      </w:r>
      <w:r w:rsidR="00495BA1">
        <w:t>Section 6 of the Plan begins with a brief description of the history of commercial development in Fitzrovia West.  Paragraph 6.3 advises that there are 2,056 businesses in the Plan area employing 38,7</w:t>
      </w:r>
      <w:r w:rsidR="00A3704D">
        <w:t xml:space="preserve">40 staff, indicating </w:t>
      </w:r>
      <w:r w:rsidR="00495BA1">
        <w:t>t</w:t>
      </w:r>
      <w:r w:rsidR="00A3704D">
        <w:t>he area’s</w:t>
      </w:r>
      <w:r w:rsidR="00495BA1">
        <w:t xml:space="preserve"> economic significance.  The SOCG includes changes to the wording of paragraphs 6.1 to 6.5 to </w:t>
      </w:r>
      <w:r w:rsidR="00C14F8E">
        <w:t xml:space="preserve">(i) </w:t>
      </w:r>
      <w:r w:rsidR="00495BA1">
        <w:t>refer to the recent introduction to the area of digital and media companies as well as art galleries</w:t>
      </w:r>
      <w:r w:rsidR="00C14F8E">
        <w:t xml:space="preserve">, (ii) inform readers that the statistics for businesses and staff relate to 2016, (iii) refer to the increase in vacant commercial floorspace in the area since the </w:t>
      </w:r>
      <w:r w:rsidR="00360C34">
        <w:t>C</w:t>
      </w:r>
      <w:r w:rsidR="00C14F8E">
        <w:t xml:space="preserve">ovid-19 pandemic began, and (iv) remove the reference to shops from paragraph 6.5.  </w:t>
      </w:r>
      <w:r w:rsidR="00715E1F">
        <w:t xml:space="preserve">I recommend that these modifications, as well as a reference to high street uses in objective 4.4.1, are made, as in </w:t>
      </w:r>
      <w:r w:rsidR="00715E1F">
        <w:rPr>
          <w:b/>
        </w:rPr>
        <w:t>PM8</w:t>
      </w:r>
      <w:r w:rsidR="00715E1F">
        <w:t xml:space="preserve">, to provide clarity for readers and contribute to the achievement of sustainable development. </w:t>
      </w:r>
    </w:p>
    <w:p w14:paraId="3DA92890" w14:textId="77777777" w:rsidR="00715E1F" w:rsidRDefault="00715E1F" w:rsidP="008B0C58">
      <w:pPr>
        <w:jc w:val="left"/>
      </w:pPr>
    </w:p>
    <w:p w14:paraId="1D86042A" w14:textId="52CE128B" w:rsidR="00CA388E" w:rsidRDefault="00715E1F" w:rsidP="008B0C58">
      <w:pPr>
        <w:ind w:left="720" w:hanging="720"/>
        <w:jc w:val="left"/>
      </w:pPr>
      <w:r>
        <w:t xml:space="preserve">4.22 </w:t>
      </w:r>
      <w:r w:rsidR="00015BA5">
        <w:tab/>
      </w:r>
      <w:r w:rsidR="003C6F15">
        <w:t xml:space="preserve">Policy B1 seeks to retain an equivalent number of small units of 250sqm or less when redevelopment is proposed, and to secure </w:t>
      </w:r>
      <w:r w:rsidR="00CA388E">
        <w:t xml:space="preserve">at least one </w:t>
      </w:r>
      <w:r w:rsidR="003C6F15">
        <w:t>such small unit when development schemes of 1,000 sqm for B1 use are put forward.  Shaftesbury PLC objected to this policy requirement</w:t>
      </w:r>
      <w:r w:rsidR="00A3704D">
        <w:t>.  I appreciate that,</w:t>
      </w:r>
      <w:r w:rsidR="003C6F15">
        <w:t xml:space="preserve"> at the time of </w:t>
      </w:r>
      <w:r w:rsidR="00360C34">
        <w:t>C</w:t>
      </w:r>
      <w:r w:rsidR="003C6F15">
        <w:t xml:space="preserve">ovid-19, small office spaces may </w:t>
      </w:r>
      <w:r w:rsidR="00A3704D">
        <w:t>in</w:t>
      </w:r>
      <w:r w:rsidR="003C6F15">
        <w:t>hibit social distancing</w:t>
      </w:r>
      <w:r w:rsidR="00495BA1">
        <w:t>.</w:t>
      </w:r>
      <w:r>
        <w:t xml:space="preserve">  It was also </w:t>
      </w:r>
      <w:r w:rsidR="00A3704D">
        <w:t>pointe</w:t>
      </w:r>
      <w:r>
        <w:t xml:space="preserve">d </w:t>
      </w:r>
      <w:r w:rsidR="00A3704D">
        <w:t xml:space="preserve">out </w:t>
      </w:r>
      <w:r>
        <w:t xml:space="preserve">that small businesses often </w:t>
      </w:r>
      <w:r w:rsidR="00441D0E">
        <w:t xml:space="preserve">need more space as they </w:t>
      </w:r>
      <w:r>
        <w:t>grow and prosper</w:t>
      </w:r>
      <w:r w:rsidR="00CA388E">
        <w:t>;</w:t>
      </w:r>
      <w:r>
        <w:t xml:space="preserve"> those in the creative sector may prefer to have a larger space</w:t>
      </w:r>
      <w:r w:rsidR="00441D0E">
        <w:t>,</w:t>
      </w:r>
      <w:r>
        <w:t xml:space="preserve"> </w:t>
      </w:r>
      <w:r w:rsidR="000F4E14">
        <w:t xml:space="preserve">including </w:t>
      </w:r>
      <w:r>
        <w:t>for collaborati</w:t>
      </w:r>
      <w:r w:rsidR="00CA388E">
        <w:t>ve working</w:t>
      </w:r>
      <w:r>
        <w:t>.  Limits on office sizes</w:t>
      </w:r>
      <w:r w:rsidR="000F4E14">
        <w:t>, it was argued,</w:t>
      </w:r>
      <w:r>
        <w:t xml:space="preserve"> may compel independent</w:t>
      </w:r>
      <w:r w:rsidR="00F776F7">
        <w:t xml:space="preserve"> </w:t>
      </w:r>
      <w:r>
        <w:t>busines</w:t>
      </w:r>
      <w:r w:rsidR="000F4E14">
        <w:t>ses to move out of the area leading to</w:t>
      </w:r>
      <w:r>
        <w:t xml:space="preserve"> a n</w:t>
      </w:r>
      <w:r w:rsidR="00CA388E">
        <w:t>egative effect on future prosperity.</w:t>
      </w:r>
      <w:r w:rsidR="00F776F7">
        <w:t xml:space="preserve">  Berners-Allsopp and CBRE</w:t>
      </w:r>
      <w:r w:rsidR="008901D1">
        <w:t xml:space="preserve"> on behalf of British Land </w:t>
      </w:r>
      <w:r w:rsidR="00F776F7">
        <w:t>also objected to the policy, stating that the demand for business space in this area is for all sizes including large open plan, with potential for sub-division.</w:t>
      </w:r>
      <w:r w:rsidR="00CA388E">
        <w:t xml:space="preserve">  </w:t>
      </w:r>
      <w:r w:rsidR="00F776F7">
        <w:t xml:space="preserve">As written, the policy will restrict flexibility and the desirability of </w:t>
      </w:r>
      <w:r w:rsidR="00441D0E">
        <w:t xml:space="preserve">the area for </w:t>
      </w:r>
      <w:r w:rsidR="00F776F7">
        <w:t>new developments</w:t>
      </w:r>
      <w:r w:rsidR="000F4E14">
        <w:t>, it was argued</w:t>
      </w:r>
      <w:r w:rsidR="00F776F7">
        <w:t>.</w:t>
      </w:r>
    </w:p>
    <w:p w14:paraId="395A8FA8" w14:textId="77777777" w:rsidR="00CA388E" w:rsidRDefault="00CA388E" w:rsidP="008B0C58">
      <w:pPr>
        <w:jc w:val="left"/>
      </w:pPr>
    </w:p>
    <w:p w14:paraId="6245F60C" w14:textId="2DCD8C99" w:rsidR="00B519BC" w:rsidRPr="002919BF" w:rsidRDefault="00CA388E" w:rsidP="008B0C58">
      <w:pPr>
        <w:ind w:left="720" w:hanging="720"/>
        <w:jc w:val="left"/>
      </w:pPr>
      <w:r>
        <w:t xml:space="preserve">4.23 </w:t>
      </w:r>
      <w:r w:rsidR="00015BA5">
        <w:tab/>
      </w:r>
      <w:r>
        <w:t>The Mayor of London</w:t>
      </w:r>
      <w:r w:rsidR="00EC318D">
        <w:t>, by contrast,</w:t>
      </w:r>
      <w:r>
        <w:t xml:space="preserve"> welcomed </w:t>
      </w:r>
      <w:r w:rsidR="00EC318D">
        <w:t xml:space="preserve">the thrust of </w:t>
      </w:r>
      <w:r>
        <w:t xml:space="preserve">Policy B1 as it seeks to protect and promote small business units and is reflective of the emerging London Plan </w:t>
      </w:r>
      <w:r w:rsidR="000F4E14">
        <w:t>P</w:t>
      </w:r>
      <w:r>
        <w:t>olicy E2.  However, the London Plan set</w:t>
      </w:r>
      <w:r w:rsidR="00EC318D">
        <w:t>s</w:t>
      </w:r>
      <w:r>
        <w:t xml:space="preserve"> a threshold of 2,500 sqm</w:t>
      </w:r>
      <w:r w:rsidR="000F4E14">
        <w:t xml:space="preserve"> not 1,000sqm</w:t>
      </w:r>
      <w:r w:rsidR="00F776F7">
        <w:t xml:space="preserve">, above which units for small </w:t>
      </w:r>
      <w:r w:rsidR="00A3704D">
        <w:t>busines</w:t>
      </w:r>
      <w:r w:rsidR="00F776F7">
        <w:t xml:space="preserve">s should be </w:t>
      </w:r>
      <w:r w:rsidR="00A3704D">
        <w:t>included</w:t>
      </w:r>
      <w:r w:rsidR="00F776F7">
        <w:t>.  As The Mayor observed, it is not clear how the FWNP threshold of 1,000 sqm has been established.</w:t>
      </w:r>
      <w:r w:rsidR="00EC318D">
        <w:t xml:space="preserve">  The SOCG puts forward modifications to Policy B1, to remove the thresholds of 1,000 sqm and 250sqm, and refer only to developments in excess of 2,500 sqm.  The policy would retain its original purpose to support small businesses, SMEs, </w:t>
      </w:r>
      <w:r w:rsidR="002919BF">
        <w:t>s</w:t>
      </w:r>
      <w:r w:rsidR="00EC318D">
        <w:t xml:space="preserve">tart-ups and organisations occupying low-cost units.  It is also proposed to modify the supporting text to give examples of flexible workspace serving </w:t>
      </w:r>
      <w:r w:rsidR="002919BF">
        <w:t xml:space="preserve">micro-companies and sole practitioners in the area, and to describe use classes in line with Government’s recent changes to the Use Classes Order.  </w:t>
      </w:r>
      <w:r w:rsidR="000F4E14">
        <w:t xml:space="preserve">I consider that </w:t>
      </w:r>
      <w:r w:rsidR="002919BF">
        <w:t>Policy B1 and the supporting text should be modified</w:t>
      </w:r>
      <w:r w:rsidR="000F4E14">
        <w:t>,</w:t>
      </w:r>
      <w:r w:rsidR="002919BF">
        <w:t xml:space="preserve"> as in the SOCG and </w:t>
      </w:r>
      <w:r w:rsidR="002919BF">
        <w:rPr>
          <w:b/>
        </w:rPr>
        <w:t>PM9</w:t>
      </w:r>
      <w:r w:rsidR="002919BF" w:rsidRPr="00D36E01">
        <w:rPr>
          <w:bCs/>
        </w:rPr>
        <w:t>,</w:t>
      </w:r>
      <w:r w:rsidR="002919BF">
        <w:t xml:space="preserve"> so that policy is reflective of the emerging London Plan (Policy E2(D)), has regard for national planning policy and will contribute to sustainable development.</w:t>
      </w:r>
    </w:p>
    <w:p w14:paraId="30FD1848" w14:textId="77777777" w:rsidR="00B519BC" w:rsidRDefault="00B519BC" w:rsidP="008B0C58">
      <w:pPr>
        <w:jc w:val="left"/>
      </w:pPr>
    </w:p>
    <w:p w14:paraId="78994789" w14:textId="17C5F379" w:rsidR="008901D1" w:rsidRDefault="002919BF" w:rsidP="008B0C58">
      <w:pPr>
        <w:ind w:left="720" w:hanging="720"/>
        <w:jc w:val="left"/>
        <w:rPr>
          <w:szCs w:val="22"/>
        </w:rPr>
      </w:pPr>
      <w:r>
        <w:lastRenderedPageBreak/>
        <w:t>4.24</w:t>
      </w:r>
      <w:r w:rsidR="00C34B6E">
        <w:t xml:space="preserve"> </w:t>
      </w:r>
      <w:r w:rsidR="00015BA5">
        <w:tab/>
      </w:r>
      <w:r w:rsidR="0081618C">
        <w:t xml:space="preserve">Policy B2 addresses Retail and Related Uses.  </w:t>
      </w:r>
      <w:r w:rsidR="0081618C">
        <w:rPr>
          <w:szCs w:val="22"/>
        </w:rPr>
        <w:t xml:space="preserve">WCC requested that the FWNP should include a reference to the Oxford Street District Place Strategy and Delivery Plan.  This comprehensive strategy </w:t>
      </w:r>
      <w:r w:rsidR="009077BD">
        <w:rPr>
          <w:szCs w:val="22"/>
        </w:rPr>
        <w:t xml:space="preserve">for the area between Marble Arch and Tottenham Court Road, </w:t>
      </w:r>
      <w:r w:rsidR="0081618C">
        <w:rPr>
          <w:szCs w:val="22"/>
        </w:rPr>
        <w:t>to revitalise all Oxford Street</w:t>
      </w:r>
      <w:r w:rsidR="009077BD">
        <w:rPr>
          <w:szCs w:val="22"/>
        </w:rPr>
        <w:t>,</w:t>
      </w:r>
      <w:r w:rsidR="0081618C">
        <w:rPr>
          <w:szCs w:val="22"/>
        </w:rPr>
        <w:t xml:space="preserve"> was published in February 2019.</w:t>
      </w:r>
      <w:r w:rsidR="00DC4FB3">
        <w:rPr>
          <w:rStyle w:val="FootnoteReference"/>
          <w:szCs w:val="22"/>
        </w:rPr>
        <w:footnoteReference w:id="11"/>
      </w:r>
      <w:r w:rsidR="0081618C">
        <w:rPr>
          <w:szCs w:val="22"/>
        </w:rPr>
        <w:t xml:space="preserve">  It is clearly relevant to Fitzrovia West, and I consider that it should be referenced in section 6, Supporting Business Uses and Development</w:t>
      </w:r>
      <w:r w:rsidR="009077BD">
        <w:rPr>
          <w:szCs w:val="22"/>
        </w:rPr>
        <w:t>,</w:t>
      </w:r>
      <w:r w:rsidR="0081618C" w:rsidRPr="00512591">
        <w:rPr>
          <w:szCs w:val="22"/>
        </w:rPr>
        <w:t xml:space="preserve"> </w:t>
      </w:r>
      <w:r w:rsidR="0081618C">
        <w:rPr>
          <w:szCs w:val="22"/>
        </w:rPr>
        <w:t xml:space="preserve">and </w:t>
      </w:r>
      <w:r w:rsidR="009077BD">
        <w:rPr>
          <w:szCs w:val="22"/>
        </w:rPr>
        <w:t xml:space="preserve">in </w:t>
      </w:r>
      <w:r w:rsidR="0081618C">
        <w:rPr>
          <w:szCs w:val="22"/>
        </w:rPr>
        <w:t xml:space="preserve">Appendix 5.  </w:t>
      </w:r>
      <w:r w:rsidR="008901D1">
        <w:rPr>
          <w:szCs w:val="22"/>
        </w:rPr>
        <w:t>I have also taken account of the Mayor of London’s comment that the FWNP may wish to set out how it can contribute positively towards growth in the Tottenham Court Road</w:t>
      </w:r>
      <w:r w:rsidR="004C498B">
        <w:rPr>
          <w:szCs w:val="22"/>
        </w:rPr>
        <w:t xml:space="preserve"> Opportunity Area in line with emerging Policy SD1 Part B of the London Plan.  As shown in Figure 3, the Opportunity Area extends outside Fitzrovia West and I consider that policy ambitions are more appropriately addressed in the London and Westminster City Plans.  Paragraph 5.25 of the WFNP and Appendix 5 alert readers to the presence of the Opportunity Area.  </w:t>
      </w:r>
    </w:p>
    <w:p w14:paraId="2B5A5A9E" w14:textId="77777777" w:rsidR="008901D1" w:rsidRDefault="008901D1" w:rsidP="008B0C58">
      <w:pPr>
        <w:jc w:val="left"/>
        <w:rPr>
          <w:szCs w:val="22"/>
        </w:rPr>
      </w:pPr>
    </w:p>
    <w:p w14:paraId="44531F03" w14:textId="52D6211F" w:rsidR="00CA6504" w:rsidRDefault="008901D1" w:rsidP="008B0C58">
      <w:pPr>
        <w:ind w:left="720" w:hanging="720"/>
        <w:jc w:val="left"/>
      </w:pPr>
      <w:r>
        <w:rPr>
          <w:szCs w:val="22"/>
        </w:rPr>
        <w:t xml:space="preserve">4.25 </w:t>
      </w:r>
      <w:r w:rsidR="00015BA5">
        <w:rPr>
          <w:szCs w:val="22"/>
        </w:rPr>
        <w:tab/>
      </w:r>
      <w:r w:rsidR="00C34B6E">
        <w:t>A number of respondents to the Reg</w:t>
      </w:r>
      <w:r w:rsidR="00D5171D">
        <w:t>ulation</w:t>
      </w:r>
      <w:r w:rsidR="00C34B6E">
        <w:t xml:space="preserve"> 16 consultation exercise stated</w:t>
      </w:r>
      <w:r w:rsidR="009077BD">
        <w:t xml:space="preserve"> that Policy B2</w:t>
      </w:r>
      <w:r w:rsidR="00C34B6E">
        <w:t xml:space="preserve"> was too restrictive of </w:t>
      </w:r>
      <w:r w:rsidR="00046F52">
        <w:t xml:space="preserve">some </w:t>
      </w:r>
      <w:r w:rsidR="00C34B6E">
        <w:t xml:space="preserve">new </w:t>
      </w:r>
      <w:r w:rsidR="00330D94">
        <w:t xml:space="preserve">retail </w:t>
      </w:r>
      <w:r w:rsidR="00C34B6E">
        <w:t>development</w:t>
      </w:r>
      <w:r w:rsidR="006A0023">
        <w:t>,</w:t>
      </w:r>
      <w:r w:rsidR="00C34B6E">
        <w:t xml:space="preserve"> and changes of use of retail premises.  It is clear that Government changes to the Use Classes Order in England, which commenced on 1 September 2020, require modifications to be made to the policy</w:t>
      </w:r>
      <w:r w:rsidR="00330D94">
        <w:t xml:space="preserve"> to give more flexibility</w:t>
      </w:r>
      <w:r w:rsidR="00C34B6E">
        <w:t xml:space="preserve">.  The most significant change to the Order is the new class E for shops, financial and professional services, cafe/restaurant, clinics/health centres/crèches/day nurseries/day centre and gyms.  With the new class E in place, many changes of use away from retail </w:t>
      </w:r>
      <w:r w:rsidR="00330D94">
        <w:t xml:space="preserve">will </w:t>
      </w:r>
      <w:r w:rsidR="00C34B6E">
        <w:t xml:space="preserve">no longer require planning permission.   </w:t>
      </w:r>
    </w:p>
    <w:p w14:paraId="43D99819" w14:textId="77777777" w:rsidR="00CA6504" w:rsidRDefault="00CA6504" w:rsidP="008B0C58">
      <w:pPr>
        <w:jc w:val="left"/>
      </w:pPr>
    </w:p>
    <w:p w14:paraId="0DACC10A" w14:textId="32037658" w:rsidR="00255B87" w:rsidRDefault="00CA6504" w:rsidP="008B0C58">
      <w:pPr>
        <w:ind w:left="720" w:hanging="720"/>
        <w:jc w:val="left"/>
      </w:pPr>
      <w:r>
        <w:t>4.2</w:t>
      </w:r>
      <w:r w:rsidR="00001E4F">
        <w:t>6</w:t>
      </w:r>
      <w:r>
        <w:t xml:space="preserve"> </w:t>
      </w:r>
      <w:r w:rsidR="00015BA5">
        <w:tab/>
      </w:r>
      <w:r w:rsidR="00330D94">
        <w:t xml:space="preserve">The SOCG puts forward a replacement Policy B2: </w:t>
      </w:r>
      <w:r w:rsidR="009077BD">
        <w:t xml:space="preserve">with a revised name, </w:t>
      </w:r>
      <w:r w:rsidR="00330D94">
        <w:t xml:space="preserve">Street Frontages, </w:t>
      </w:r>
      <w:r w:rsidR="009077BD">
        <w:t xml:space="preserve">to </w:t>
      </w:r>
      <w:r w:rsidR="00330D94">
        <w:t xml:space="preserve">offer more flexibility </w:t>
      </w:r>
      <w:r w:rsidR="009768C4">
        <w:t>(for example, it removes the 18 months vacancy requirement before change of use will be considered acceptable).  The modified policy</w:t>
      </w:r>
      <w:r w:rsidR="00330D94">
        <w:t xml:space="preserve"> reflect</w:t>
      </w:r>
      <w:r w:rsidR="009768C4">
        <w:t>s</w:t>
      </w:r>
      <w:r w:rsidR="00330D94">
        <w:t xml:space="preserve"> the revised Use Classes Order.  However, I note the lack of agreement</w:t>
      </w:r>
      <w:r w:rsidR="009077BD">
        <w:t xml:space="preserve"> between the Forum and WCC</w:t>
      </w:r>
      <w:r w:rsidR="00330D94">
        <w:t xml:space="preserve"> over clauses i. to provide a range of outlets which meet a variety of local and other needs, and vi</w:t>
      </w:r>
      <w:r w:rsidR="00046F52">
        <w:t>.</w:t>
      </w:r>
      <w:r w:rsidR="00330D94">
        <w:t xml:space="preserve"> </w:t>
      </w:r>
      <w:r w:rsidR="00046F52">
        <w:t>opposing the loss of retail premises to sui generis uses such as bars and hot food takeaways.  I understand the importance, especially to the local resident community, of maintaining a wide range of shops and service outlets</w:t>
      </w:r>
      <w:r>
        <w:t xml:space="preserve"> and appreciate the difficulties which can arise when key local shops are closed or replaced.</w:t>
      </w:r>
      <w:r w:rsidR="00C34B6E">
        <w:t xml:space="preserve"> </w:t>
      </w:r>
      <w:r>
        <w:t xml:space="preserve"> However, clauses i. and vi. which seek “a range of outlets” and oppose a change of use where </w:t>
      </w:r>
      <w:r w:rsidR="006A0023">
        <w:t xml:space="preserve">premises “provide a valued local service” </w:t>
      </w:r>
      <w:r w:rsidR="009077BD">
        <w:t>c</w:t>
      </w:r>
      <w:r w:rsidR="006A0023">
        <w:t>ould be difficult to</w:t>
      </w:r>
      <w:r w:rsidR="00DA518F">
        <w:t xml:space="preserve"> assess and </w:t>
      </w:r>
      <w:r w:rsidR="006A0023">
        <w:t>implement.  Paragraphs 6.</w:t>
      </w:r>
      <w:r w:rsidR="00255B87">
        <w:t>10</w:t>
      </w:r>
      <w:r w:rsidR="006A0023">
        <w:t xml:space="preserve"> and 6.1</w:t>
      </w:r>
      <w:r w:rsidR="00255B87">
        <w:t>1</w:t>
      </w:r>
      <w:r w:rsidR="006A0023">
        <w:t xml:space="preserve"> should, however, refer to these ambitions, as proposed in the SOCG</w:t>
      </w:r>
      <w:r w:rsidR="009C20CA">
        <w:t>, as well as make reference to</w:t>
      </w:r>
      <w:r w:rsidR="00255B87">
        <w:t xml:space="preserve"> the Oxford Street District Place Strategy and Delivery Plan.  </w:t>
      </w:r>
    </w:p>
    <w:p w14:paraId="37765AD3" w14:textId="77777777" w:rsidR="00255B87" w:rsidRDefault="00255B87" w:rsidP="008B0C58">
      <w:pPr>
        <w:jc w:val="left"/>
      </w:pPr>
    </w:p>
    <w:p w14:paraId="52872159" w14:textId="2B546CB6" w:rsidR="00B519BC" w:rsidRDefault="00255B87" w:rsidP="008B0C58">
      <w:pPr>
        <w:ind w:left="720" w:hanging="720"/>
        <w:jc w:val="left"/>
      </w:pPr>
      <w:r>
        <w:t>4.2</w:t>
      </w:r>
      <w:r w:rsidR="00001E4F">
        <w:t>7</w:t>
      </w:r>
      <w:r>
        <w:t xml:space="preserve"> </w:t>
      </w:r>
      <w:r w:rsidR="00015BA5">
        <w:tab/>
      </w:r>
      <w:r w:rsidR="008901D1">
        <w:t xml:space="preserve">I accept that </w:t>
      </w:r>
      <w:r>
        <w:t xml:space="preserve">Policy B2 should </w:t>
      </w:r>
      <w:r w:rsidR="00052455">
        <w:t xml:space="preserve">not </w:t>
      </w:r>
      <w:r w:rsidR="006A0023">
        <w:t xml:space="preserve">state that new residential and non-commercial uses may be considered appropriate in the future, </w:t>
      </w:r>
      <w:r>
        <w:t>o</w:t>
      </w:r>
      <w:r w:rsidR="006A0023">
        <w:t xml:space="preserve">n the </w:t>
      </w:r>
      <w:r w:rsidR="006A0023">
        <w:lastRenderedPageBreak/>
        <w:t xml:space="preserve">upper floors of the West End International Centre </w:t>
      </w:r>
      <w:r w:rsidR="006820B9">
        <w:t>(</w:t>
      </w:r>
      <w:r w:rsidR="006A0023">
        <w:t>WEIC</w:t>
      </w:r>
      <w:r w:rsidR="006820B9">
        <w:t>)</w:t>
      </w:r>
      <w:r w:rsidR="006A0023">
        <w:t>.</w:t>
      </w:r>
      <w:r w:rsidR="00052455">
        <w:t xml:space="preserve">  Paragraphs 15.14-16 of the emerging Westminster City Plan specify that residential use of the upper floors in the WE</w:t>
      </w:r>
      <w:r w:rsidR="00694D28">
        <w:t>I</w:t>
      </w:r>
      <w:r w:rsidR="00052455">
        <w:t xml:space="preserve">C is not supported.  Policy B2 and the supporting text should be modified as shown in the SOCG (without the highlighted yellow changes) and as shown in </w:t>
      </w:r>
      <w:r w:rsidR="00052455">
        <w:rPr>
          <w:b/>
        </w:rPr>
        <w:t>PM10</w:t>
      </w:r>
      <w:r w:rsidR="00052455">
        <w:t>, so that regard is had for national policy and so that the policy reflects the emerging City Plan.</w:t>
      </w:r>
    </w:p>
    <w:p w14:paraId="05B7EE44" w14:textId="77777777" w:rsidR="00DC4FB3" w:rsidRDefault="00DC4FB3" w:rsidP="00DC4FB3">
      <w:pPr>
        <w:ind w:left="0" w:firstLine="0"/>
        <w:jc w:val="left"/>
        <w:rPr>
          <w:iCs/>
          <w:u w:val="single"/>
        </w:rPr>
      </w:pPr>
    </w:p>
    <w:p w14:paraId="08C77925" w14:textId="7F44993E" w:rsidR="00D6555A" w:rsidRPr="004230BB" w:rsidRDefault="00D6555A" w:rsidP="00DC4FB3">
      <w:pPr>
        <w:ind w:left="0" w:firstLine="720"/>
        <w:jc w:val="left"/>
        <w:rPr>
          <w:iCs/>
          <w:u w:val="single"/>
        </w:rPr>
      </w:pPr>
      <w:r w:rsidRPr="004230BB">
        <w:rPr>
          <w:iCs/>
          <w:u w:val="single"/>
        </w:rPr>
        <w:t>Green and Open Space</w:t>
      </w:r>
    </w:p>
    <w:p w14:paraId="677F4752" w14:textId="77777777" w:rsidR="00D6555A" w:rsidRPr="00D6555A" w:rsidRDefault="00D6555A" w:rsidP="008B0C58">
      <w:pPr>
        <w:jc w:val="left"/>
        <w:rPr>
          <w:i/>
        </w:rPr>
      </w:pPr>
    </w:p>
    <w:p w14:paraId="18E00E8D" w14:textId="577DF90A" w:rsidR="00D442FF" w:rsidRDefault="00B94041" w:rsidP="008B0C58">
      <w:pPr>
        <w:ind w:left="720" w:hanging="720"/>
        <w:jc w:val="left"/>
      </w:pPr>
      <w:r>
        <w:t>4.2</w:t>
      </w:r>
      <w:r w:rsidR="00001E4F">
        <w:t>8</w:t>
      </w:r>
      <w:r>
        <w:t xml:space="preserve"> </w:t>
      </w:r>
      <w:r w:rsidR="00015BA5">
        <w:tab/>
      </w:r>
      <w:r>
        <w:t xml:space="preserve">Section 7 addresses </w:t>
      </w:r>
      <w:r w:rsidR="000F29AB">
        <w:t>this topic and states that</w:t>
      </w:r>
      <w:r w:rsidR="00D6555A">
        <w:t xml:space="preserve"> </w:t>
      </w:r>
      <w:r>
        <w:t xml:space="preserve">there </w:t>
      </w:r>
      <w:r w:rsidR="00D6555A">
        <w:t>are</w:t>
      </w:r>
      <w:r>
        <w:t xml:space="preserve"> deficiencies in </w:t>
      </w:r>
      <w:r w:rsidR="00D6555A">
        <w:t xml:space="preserve">green and open spaces in </w:t>
      </w:r>
      <w:r>
        <w:t>Fitzrovia West.</w:t>
      </w:r>
      <w:r w:rsidR="00D6555A">
        <w:t xml:space="preserve">  </w:t>
      </w:r>
      <w:r w:rsidR="000F29AB">
        <w:t xml:space="preserve">Although </w:t>
      </w:r>
      <w:r w:rsidR="00252916">
        <w:t xml:space="preserve">the </w:t>
      </w:r>
      <w:r w:rsidR="000F29AB">
        <w:t xml:space="preserve">consultation responses pointed out the area’s proximity to the large open area of Regent’s Park, it was clear to me at my site visit that Euston Road prevents easy access to the Park for pedestrians from Fitzrovia West.  The level of </w:t>
      </w:r>
      <w:r w:rsidR="003A4B1B">
        <w:t xml:space="preserve">open space </w:t>
      </w:r>
      <w:r w:rsidR="000F29AB">
        <w:t xml:space="preserve">deficiency within Fitzrovia West is adequately illustrated in Figure 5.  </w:t>
      </w:r>
      <w:r w:rsidR="00D6555A">
        <w:t xml:space="preserve">WCC expressed support for Policy GS1 but suggested that the spaces mentioned in </w:t>
      </w:r>
      <w:r w:rsidR="000F29AB">
        <w:t xml:space="preserve">clause 2 of </w:t>
      </w:r>
      <w:r w:rsidR="00D6555A">
        <w:t>the policy should be shown on a map.</w:t>
      </w:r>
      <w:r w:rsidR="00E07FBA">
        <w:t xml:space="preserve">  The Forum proposed that Figure 8 should show the four named sites, and I recommend that the figure is modified accordingly, as in </w:t>
      </w:r>
      <w:r w:rsidR="00E07FBA">
        <w:rPr>
          <w:b/>
        </w:rPr>
        <w:t>PM11</w:t>
      </w:r>
      <w:r w:rsidR="000F29AB">
        <w:rPr>
          <w:b/>
        </w:rPr>
        <w:t>,</w:t>
      </w:r>
      <w:r w:rsidR="00D442FF">
        <w:rPr>
          <w:b/>
        </w:rPr>
        <w:t xml:space="preserve"> </w:t>
      </w:r>
      <w:r w:rsidR="00D442FF">
        <w:t>with a cross-reference to Figure 8 rather than Figure 3 in Policy GS1</w:t>
      </w:r>
      <w:r w:rsidR="001B1B7A">
        <w:t>,</w:t>
      </w:r>
      <w:r w:rsidR="00E06333">
        <w:t xml:space="preserve"> and Figure 5 in paragraph 7.6</w:t>
      </w:r>
      <w:r w:rsidR="001B1B7A">
        <w:t xml:space="preserve"> (as in </w:t>
      </w:r>
      <w:r w:rsidR="001B1B7A">
        <w:rPr>
          <w:b/>
        </w:rPr>
        <w:t>PM12</w:t>
      </w:r>
      <w:r w:rsidR="001B1B7A">
        <w:t>)</w:t>
      </w:r>
      <w:r w:rsidR="00D442FF">
        <w:t>.</w:t>
      </w:r>
      <w:r w:rsidR="00E07FBA">
        <w:t xml:space="preserve"> </w:t>
      </w:r>
      <w:r w:rsidR="00D442FF">
        <w:t xml:space="preserve"> The modifications </w:t>
      </w:r>
      <w:r w:rsidR="001B1B7A">
        <w:t xml:space="preserve">are </w:t>
      </w:r>
      <w:r w:rsidR="00D442FF">
        <w:t>needed so that</w:t>
      </w:r>
      <w:r w:rsidR="00E07FBA">
        <w:t xml:space="preserve"> regard </w:t>
      </w:r>
      <w:r w:rsidR="00D442FF">
        <w:t xml:space="preserve">is had </w:t>
      </w:r>
      <w:r w:rsidR="00E07FBA">
        <w:t xml:space="preserve">for paragraph 16d of the NPPF, </w:t>
      </w:r>
      <w:r w:rsidR="00D442FF">
        <w:t xml:space="preserve">which states </w:t>
      </w:r>
      <w:r w:rsidR="00E07FBA">
        <w:t xml:space="preserve">that policies should be clearly written and unambiguous. </w:t>
      </w:r>
      <w:r w:rsidR="00F354B9">
        <w:t xml:space="preserve"> </w:t>
      </w:r>
    </w:p>
    <w:p w14:paraId="669AF111" w14:textId="77777777" w:rsidR="00F354B9" w:rsidRDefault="00F354B9" w:rsidP="008B0C58">
      <w:pPr>
        <w:jc w:val="left"/>
      </w:pPr>
    </w:p>
    <w:p w14:paraId="611EFBB4" w14:textId="0E539B13" w:rsidR="00F354B9" w:rsidRDefault="00F354B9" w:rsidP="008B0C58">
      <w:pPr>
        <w:ind w:left="720" w:hanging="720"/>
        <w:jc w:val="left"/>
      </w:pPr>
      <w:r>
        <w:t>4.2</w:t>
      </w:r>
      <w:r w:rsidR="00001E4F">
        <w:t>9</w:t>
      </w:r>
      <w:r>
        <w:t xml:space="preserve"> </w:t>
      </w:r>
      <w:r w:rsidR="00015BA5">
        <w:tab/>
      </w:r>
      <w:r>
        <w:t xml:space="preserve">I noted the suggestion that land at the northern end of Berners Street should be shown alongside the nine Public Realm Priority Projects in Figure 8.  However, the Forum advised, in its letter to me of September 2020, that </w:t>
      </w:r>
      <w:r w:rsidR="0025552C">
        <w:t>that site had not been selected for detailed case study by their consultants.  Figure 8 is designed to show potential rather than firm proposals, as explained in paragraph 7.6 of the FWNP.  In my view, the approach would not rule out future improvements to the public realm and landscaping of Berners</w:t>
      </w:r>
      <w:r w:rsidR="00F270B1">
        <w:t xml:space="preserve"> Street</w:t>
      </w:r>
      <w:r w:rsidR="0025552C">
        <w:t xml:space="preserve">.  However, Figure 8 need not be modified to add the site.  </w:t>
      </w:r>
    </w:p>
    <w:p w14:paraId="7CAB231F" w14:textId="77777777" w:rsidR="00B94041" w:rsidRDefault="00E07FBA" w:rsidP="008B0C58">
      <w:pPr>
        <w:jc w:val="left"/>
      </w:pPr>
      <w:r>
        <w:t xml:space="preserve"> </w:t>
      </w:r>
      <w:r w:rsidR="00B94041">
        <w:t xml:space="preserve"> </w:t>
      </w:r>
      <w:r w:rsidR="00D6555A">
        <w:t xml:space="preserve"> </w:t>
      </w:r>
    </w:p>
    <w:p w14:paraId="4C6F4A55" w14:textId="0C96A0A7" w:rsidR="00D442FF" w:rsidRDefault="00255B87" w:rsidP="008B0C58">
      <w:pPr>
        <w:ind w:left="720" w:hanging="720"/>
        <w:jc w:val="left"/>
      </w:pPr>
      <w:r>
        <w:t>4.</w:t>
      </w:r>
      <w:r w:rsidR="00001E4F">
        <w:t>30</w:t>
      </w:r>
      <w:r w:rsidR="00D442FF">
        <w:t xml:space="preserve"> </w:t>
      </w:r>
      <w:r w:rsidR="00015BA5">
        <w:tab/>
      </w:r>
      <w:r w:rsidR="00A0790C">
        <w:t xml:space="preserve">On Policy GS2: Creating New Green and Open Spaces, it was pointed out that in such a heavily developed area, it may not always be possible to incorporate new open or green space, even in major developments.  </w:t>
      </w:r>
      <w:r w:rsidR="00E06333">
        <w:t>The Swift Conservation organisation</w:t>
      </w:r>
      <w:r w:rsidR="00A0790C">
        <w:t xml:space="preserve"> suggested that the policy </w:t>
      </w:r>
      <w:r w:rsidR="00E06333">
        <w:t>sh</w:t>
      </w:r>
      <w:r w:rsidR="00A0790C">
        <w:t xml:space="preserve">ould refer </w:t>
      </w:r>
      <w:r w:rsidR="00E06333">
        <w:t>t</w:t>
      </w:r>
      <w:r w:rsidR="00A0790C">
        <w:t xml:space="preserve">o measures such as swift bricks and bat boxes to </w:t>
      </w:r>
      <w:r w:rsidR="00E06333">
        <w:t>increase biodiversity.</w:t>
      </w:r>
      <w:r w:rsidR="00A0790C">
        <w:t xml:space="preserve"> </w:t>
      </w:r>
      <w:r w:rsidR="00E06333">
        <w:t xml:space="preserve"> The SOCG put forward revised wording to Policy GS2 which confirms that the policy would apply to “major” development proposals, and new open or green space “where possible”.  A reference to swift bricks and bat boxes would be added as well as a footnote reference to the Healthy Street</w:t>
      </w:r>
      <w:r w:rsidR="007C6611">
        <w:t>s principles of the Mayor/TfL.</w:t>
      </w:r>
      <w:r w:rsidR="009077BD">
        <w:t xml:space="preserve"> </w:t>
      </w:r>
      <w:r w:rsidR="007C6611">
        <w:t xml:space="preserve"> </w:t>
      </w:r>
      <w:r w:rsidR="009077BD">
        <w:t xml:space="preserve">The footnote to the policy, Strategic Policy Context, should also refer to WCC’s Trees </w:t>
      </w:r>
      <w:r w:rsidR="00366A9C">
        <w:t>a</w:t>
      </w:r>
      <w:r w:rsidR="009077BD">
        <w:t>n</w:t>
      </w:r>
      <w:r w:rsidR="00366A9C">
        <w:t>d the</w:t>
      </w:r>
      <w:r w:rsidR="009077BD">
        <w:t xml:space="preserve"> Public Realm Supplementary Planning Document (SPD). </w:t>
      </w:r>
      <w:r w:rsidR="007C6611">
        <w:t xml:space="preserve"> </w:t>
      </w:r>
      <w:r w:rsidR="007C6611">
        <w:rPr>
          <w:b/>
        </w:rPr>
        <w:t xml:space="preserve">PM12 </w:t>
      </w:r>
      <w:r w:rsidR="007C6611">
        <w:t>should be made so that the policy contributes to the achievement of sustainable development.</w:t>
      </w:r>
    </w:p>
    <w:p w14:paraId="64837246" w14:textId="44441B03" w:rsidR="007C6611" w:rsidRDefault="007C6611" w:rsidP="008B0C58">
      <w:pPr>
        <w:jc w:val="left"/>
      </w:pPr>
    </w:p>
    <w:p w14:paraId="03CD0933" w14:textId="6BE6AB76" w:rsidR="00001E4F" w:rsidRDefault="00001E4F" w:rsidP="008B0C58">
      <w:pPr>
        <w:jc w:val="left"/>
      </w:pPr>
    </w:p>
    <w:p w14:paraId="0B4CC814" w14:textId="77777777" w:rsidR="00001E4F" w:rsidRDefault="00001E4F" w:rsidP="008B0C58">
      <w:pPr>
        <w:jc w:val="left"/>
      </w:pPr>
    </w:p>
    <w:p w14:paraId="21C3C7A4" w14:textId="77777777" w:rsidR="007C6611" w:rsidRPr="004230BB" w:rsidRDefault="007C6611" w:rsidP="004230BB">
      <w:pPr>
        <w:ind w:firstLine="288"/>
        <w:jc w:val="left"/>
        <w:rPr>
          <w:iCs/>
          <w:u w:val="single"/>
        </w:rPr>
      </w:pPr>
      <w:r w:rsidRPr="004230BB">
        <w:rPr>
          <w:iCs/>
          <w:u w:val="single"/>
        </w:rPr>
        <w:lastRenderedPageBreak/>
        <w:t>Promoting Environmental Quality</w:t>
      </w:r>
    </w:p>
    <w:p w14:paraId="6ECE9ABE" w14:textId="77777777" w:rsidR="00314EA5" w:rsidRDefault="00314EA5" w:rsidP="008B0C58">
      <w:pPr>
        <w:jc w:val="left"/>
        <w:rPr>
          <w:i/>
        </w:rPr>
      </w:pPr>
    </w:p>
    <w:p w14:paraId="071365C3" w14:textId="08509FE7" w:rsidR="00FA2EFE" w:rsidRDefault="0025552C" w:rsidP="008B0C58">
      <w:pPr>
        <w:ind w:left="720" w:hanging="720"/>
        <w:jc w:val="left"/>
      </w:pPr>
      <w:r>
        <w:t>4.3</w:t>
      </w:r>
      <w:r w:rsidR="00001E4F">
        <w:t>1</w:t>
      </w:r>
      <w:r w:rsidR="00314EA5">
        <w:t xml:space="preserve"> </w:t>
      </w:r>
      <w:r w:rsidR="00015BA5">
        <w:tab/>
      </w:r>
      <w:r w:rsidR="00314EA5">
        <w:t xml:space="preserve">The introduction to section 8 of the Plan refers to the negative environmental conditions in Fitzrovia </w:t>
      </w:r>
      <w:r w:rsidR="001768FE">
        <w:t>W</w:t>
      </w:r>
      <w:r w:rsidR="00314EA5">
        <w:t xml:space="preserve">est, the first </w:t>
      </w:r>
      <w:r w:rsidR="00FA2EFE">
        <w:t>being</w:t>
      </w:r>
      <w:r w:rsidR="00314EA5">
        <w:t xml:space="preserve"> poor air quality.  Paragraphs 8.2 and 8.3 and Figure 9 provide some useful background and statistical information, but I consider that the terminology requires some clarification.  </w:t>
      </w:r>
      <w:r w:rsidR="001768FE">
        <w:t>Also</w:t>
      </w:r>
      <w:r w:rsidR="00D5171D">
        <w:t>,</w:t>
      </w:r>
      <w:r w:rsidR="001768FE">
        <w:t xml:space="preserve"> paragraph </w:t>
      </w:r>
      <w:r w:rsidR="005E40A4">
        <w:t xml:space="preserve">8.2 </w:t>
      </w:r>
      <w:r w:rsidR="001768FE">
        <w:t xml:space="preserve">should refer to Figure 9 rather than Figure 8.  </w:t>
      </w:r>
      <w:r w:rsidR="00314EA5">
        <w:t>The differences between NO</w:t>
      </w:r>
      <w:r w:rsidR="00A40535">
        <w:t>x</w:t>
      </w:r>
      <w:r w:rsidR="00314EA5">
        <w:t xml:space="preserve"> and NO</w:t>
      </w:r>
      <w:r w:rsidR="00314EA5" w:rsidRPr="00A40535">
        <w:rPr>
          <w:vertAlign w:val="subscript"/>
        </w:rPr>
        <w:t>2</w:t>
      </w:r>
      <w:r w:rsidR="00314EA5">
        <w:t xml:space="preserve">, the meaning of PM (particulate matter), </w:t>
      </w:r>
      <w:r w:rsidR="001768FE">
        <w:t>and the different</w:t>
      </w:r>
      <w:r w:rsidR="00314EA5">
        <w:t xml:space="preserve"> measures </w:t>
      </w:r>
      <w:r w:rsidR="001768FE">
        <w:t xml:space="preserve">of </w:t>
      </w:r>
      <w:r w:rsidR="00314EA5">
        <w:t xml:space="preserve">PM2.5 and PM10, should be briefly explained, for the benefit of readers and users of the Plan, having regard for paragraph 16d of the NPPF. </w:t>
      </w:r>
      <w:r w:rsidR="001B1B7A">
        <w:t xml:space="preserve"> </w:t>
      </w:r>
      <w:r w:rsidR="00314EA5">
        <w:rPr>
          <w:b/>
        </w:rPr>
        <w:t>PM13</w:t>
      </w:r>
      <w:r w:rsidR="00FA2EFE" w:rsidRPr="00694D28">
        <w:rPr>
          <w:bCs/>
        </w:rPr>
        <w:t>,</w:t>
      </w:r>
      <w:r w:rsidR="00FA2EFE">
        <w:rPr>
          <w:b/>
        </w:rPr>
        <w:t xml:space="preserve"> </w:t>
      </w:r>
      <w:r w:rsidR="00FA2EFE" w:rsidRPr="00FA2EFE">
        <w:t>to modify paragraph 8.2</w:t>
      </w:r>
      <w:r w:rsidR="00FA2EFE">
        <w:t>,</w:t>
      </w:r>
      <w:r w:rsidR="00FA2EFE">
        <w:rPr>
          <w:b/>
        </w:rPr>
        <w:t xml:space="preserve"> </w:t>
      </w:r>
      <w:r w:rsidR="00314EA5" w:rsidRPr="00314EA5">
        <w:t>should be made accordingly.</w:t>
      </w:r>
    </w:p>
    <w:p w14:paraId="0E338B56" w14:textId="77777777" w:rsidR="00FA2EFE" w:rsidRDefault="00FA2EFE" w:rsidP="008B0C58">
      <w:pPr>
        <w:jc w:val="left"/>
      </w:pPr>
    </w:p>
    <w:p w14:paraId="6A751D22" w14:textId="30259F41" w:rsidR="000B7378" w:rsidRDefault="00255B87" w:rsidP="008B0C58">
      <w:pPr>
        <w:ind w:left="720" w:hanging="720"/>
        <w:jc w:val="left"/>
      </w:pPr>
      <w:r>
        <w:t>4.3</w:t>
      </w:r>
      <w:r w:rsidR="00001E4F">
        <w:t>2</w:t>
      </w:r>
      <w:r w:rsidR="00FA2EFE">
        <w:t xml:space="preserve"> </w:t>
      </w:r>
      <w:r w:rsidR="00015BA5">
        <w:tab/>
      </w:r>
      <w:r w:rsidR="007F35B6">
        <w:t xml:space="preserve">On behalf of the Mayor of London, it was stated that his priorities included improving air quality in London so that it is the best of any world city.  Policy S12 of the emerging London Plan promotes the energy hierarchy and aims to reduce greenhouse gas emissions.  I note that this policy is </w:t>
      </w:r>
      <w:r w:rsidR="004C06D8">
        <w:t>referenc</w:t>
      </w:r>
      <w:r w:rsidR="007F35B6">
        <w:t xml:space="preserve">ed in the Strategic Policy Context to </w:t>
      </w:r>
      <w:r w:rsidR="000B7378">
        <w:t xml:space="preserve">Policies EN1 &amp; 2, and that paragraph 8.5 refers to action taken by the Mayor of London and TfL, as well as WCC. </w:t>
      </w:r>
      <w:r w:rsidR="007F35B6">
        <w:t xml:space="preserve"> </w:t>
      </w:r>
      <w:r w:rsidR="00741003">
        <w:t xml:space="preserve">Clean Air in London stated that the </w:t>
      </w:r>
      <w:r w:rsidR="00D5171D">
        <w:t>F</w:t>
      </w:r>
      <w:r w:rsidR="00741003">
        <w:t>WNP should be consistent with WCC’s declaration of a climate emergency (with deadlines) and in conformity with the London Environment Strategy 2018.  Policies EN1 and 2 should be strengthened so that zero air emissions can be achieved by 2040.</w:t>
      </w:r>
      <w:r w:rsidR="007F35B6">
        <w:t xml:space="preserve">  It was suggested that Policy EN1 should be modified to state that all built development including substantial refurbishment should achieve net zero emissions.  By contrast, Derwent London consider</w:t>
      </w:r>
      <w:r w:rsidR="000B7378">
        <w:t>s</w:t>
      </w:r>
      <w:r w:rsidR="007F35B6">
        <w:t xml:space="preserve"> that the policy </w:t>
      </w:r>
      <w:r w:rsidR="000B7378">
        <w:t>i</w:t>
      </w:r>
      <w:r w:rsidR="007F35B6">
        <w:t>s too onerous, and should not be applied to small developments, eg. shop front changes.</w:t>
      </w:r>
      <w:r w:rsidR="00741003">
        <w:t xml:space="preserve">  </w:t>
      </w:r>
      <w:r w:rsidR="00314EA5" w:rsidRPr="00314EA5">
        <w:t xml:space="preserve"> </w:t>
      </w:r>
    </w:p>
    <w:p w14:paraId="29EB98B7" w14:textId="77777777" w:rsidR="009E45FD" w:rsidRDefault="009E45FD" w:rsidP="008B0C58">
      <w:pPr>
        <w:jc w:val="left"/>
      </w:pPr>
    </w:p>
    <w:p w14:paraId="4E4E6585" w14:textId="078E4B2E" w:rsidR="00314EA5" w:rsidRDefault="00255B87" w:rsidP="008B0C58">
      <w:pPr>
        <w:ind w:left="720" w:hanging="720"/>
        <w:jc w:val="left"/>
      </w:pPr>
      <w:r>
        <w:t>4.3</w:t>
      </w:r>
      <w:r w:rsidR="00001E4F">
        <w:t>3</w:t>
      </w:r>
      <w:r w:rsidR="000B7378">
        <w:t xml:space="preserve"> </w:t>
      </w:r>
      <w:r w:rsidR="00015BA5">
        <w:tab/>
      </w:r>
      <w:r w:rsidR="006D7551">
        <w:t xml:space="preserve">The SOCG set out revised wording for Policy EN1 which is more ambitious than in the submitted FWNP, seeking to achieve net zero emissions as soon as practical.  The revised wording has also focussed on major developments including substantial refurbishments.  Although WCC </w:t>
      </w:r>
      <w:r w:rsidR="004C06D8">
        <w:t>contended</w:t>
      </w:r>
      <w:r w:rsidR="006D7551">
        <w:t xml:space="preserve"> that the policy did not separate the two issues of carbon emissions and air quality sufficiently, </w:t>
      </w:r>
      <w:r w:rsidR="007747D4">
        <w:t xml:space="preserve">I consider that its purpose is clear.  I support the modified Policy EN1 </w:t>
      </w:r>
      <w:r w:rsidR="004C06D8">
        <w:t xml:space="preserve">with a definition of “zero emissions” added to the Glossary in Appendix 6, </w:t>
      </w:r>
      <w:r w:rsidR="007747D4">
        <w:t xml:space="preserve">as shown in the SOCG and set out in </w:t>
      </w:r>
      <w:r w:rsidR="007747D4" w:rsidRPr="007747D4">
        <w:rPr>
          <w:b/>
        </w:rPr>
        <w:t>PM14</w:t>
      </w:r>
      <w:r w:rsidR="007747D4">
        <w:t>, to contribute to the achievement of sustainable development and align with the emerging policies in the London Plan and Westminster City Plan.</w:t>
      </w:r>
      <w:r w:rsidR="00314EA5" w:rsidRPr="00314EA5">
        <w:t xml:space="preserve"> </w:t>
      </w:r>
    </w:p>
    <w:p w14:paraId="30996C45" w14:textId="77777777" w:rsidR="007747D4" w:rsidRDefault="007747D4" w:rsidP="008B0C58">
      <w:pPr>
        <w:jc w:val="left"/>
      </w:pPr>
    </w:p>
    <w:p w14:paraId="08DB5B73" w14:textId="4ABD5F67" w:rsidR="007747D4" w:rsidRDefault="000253CF" w:rsidP="008B0C58">
      <w:pPr>
        <w:ind w:left="720" w:hanging="720"/>
        <w:jc w:val="left"/>
      </w:pPr>
      <w:r>
        <w:t>4.3</w:t>
      </w:r>
      <w:r w:rsidR="00001E4F">
        <w:t>4</w:t>
      </w:r>
      <w:r w:rsidR="007747D4">
        <w:t xml:space="preserve"> </w:t>
      </w:r>
      <w:r w:rsidR="00015BA5">
        <w:tab/>
      </w:r>
      <w:r w:rsidR="00BD4077">
        <w:t xml:space="preserve">Regarding Policy EN2, WCC was critical of clause 2, indicating that the wording did not comply with emerging City Plan Policy 37, which sets higher standards for energy efficiency.  Clause 3, it was suggested, was too vague in its reference to “adverse impacts” on heritage assets, and arguably overlapped with clause 2d.  The SOCG includes revised wording for this </w:t>
      </w:r>
      <w:r w:rsidR="00E3770B">
        <w:t xml:space="preserve">renewable energy </w:t>
      </w:r>
      <w:r w:rsidR="00BD4077">
        <w:t>policy</w:t>
      </w:r>
      <w:r w:rsidR="00E3770B">
        <w:t xml:space="preserve"> which, in my opinion, should provide clar</w:t>
      </w:r>
      <w:r w:rsidR="009C20CA">
        <w:t>ity</w:t>
      </w:r>
      <w:r w:rsidR="00E3770B">
        <w:t xml:space="preserve"> for all new development including substantial refurbishment, and overcome the problems identified by WCC.  </w:t>
      </w:r>
      <w:r w:rsidR="00E3770B">
        <w:rPr>
          <w:b/>
        </w:rPr>
        <w:t xml:space="preserve">PM15 </w:t>
      </w:r>
      <w:r w:rsidR="00E3770B">
        <w:t xml:space="preserve">should be made to </w:t>
      </w:r>
      <w:r w:rsidR="00E3770B">
        <w:lastRenderedPageBreak/>
        <w:t>modify Policy EN2 so that it contributes to the achievement of sustainable development.</w:t>
      </w:r>
    </w:p>
    <w:p w14:paraId="62501016" w14:textId="77777777" w:rsidR="009E45FD" w:rsidRDefault="009E45FD" w:rsidP="008B0C58">
      <w:pPr>
        <w:jc w:val="left"/>
      </w:pPr>
    </w:p>
    <w:p w14:paraId="3485F682" w14:textId="77777777" w:rsidR="009E45FD" w:rsidRPr="004230BB" w:rsidRDefault="009E45FD" w:rsidP="004230BB">
      <w:pPr>
        <w:ind w:left="1152"/>
        <w:jc w:val="left"/>
        <w:rPr>
          <w:iCs/>
          <w:u w:val="single"/>
        </w:rPr>
      </w:pPr>
      <w:r w:rsidRPr="004230BB">
        <w:rPr>
          <w:iCs/>
          <w:u w:val="single"/>
        </w:rPr>
        <w:t>Mobility and Transport</w:t>
      </w:r>
    </w:p>
    <w:p w14:paraId="124E9CE4" w14:textId="77777777" w:rsidR="009E45FD" w:rsidRDefault="009E45FD" w:rsidP="008B0C58">
      <w:pPr>
        <w:jc w:val="left"/>
        <w:rPr>
          <w:i/>
        </w:rPr>
      </w:pPr>
    </w:p>
    <w:p w14:paraId="71C74E85" w14:textId="0661CD84" w:rsidR="00A5410F" w:rsidRDefault="00D51977" w:rsidP="008B0C58">
      <w:pPr>
        <w:ind w:left="720" w:hanging="720"/>
        <w:jc w:val="left"/>
      </w:pPr>
      <w:r>
        <w:t>4.3</w:t>
      </w:r>
      <w:r w:rsidR="00001E4F">
        <w:t>5</w:t>
      </w:r>
      <w:r w:rsidR="000E6193">
        <w:t xml:space="preserve"> </w:t>
      </w:r>
      <w:r w:rsidR="00015BA5">
        <w:tab/>
      </w:r>
      <w:r w:rsidR="000E6193">
        <w:t xml:space="preserve">Section 9 </w:t>
      </w:r>
      <w:r w:rsidR="009E45FD">
        <w:t>support</w:t>
      </w:r>
      <w:r w:rsidR="000E6193">
        <w:t>s</w:t>
      </w:r>
      <w:r w:rsidR="009E45FD">
        <w:t xml:space="preserve"> sustainable transport, and I note that TfL welcomed the Plan’s promotion of a</w:t>
      </w:r>
      <w:r w:rsidR="00132979">
        <w:t xml:space="preserve"> sustainable and improved public realm which will help create a healthier and less vehicle-dominated Westminster. </w:t>
      </w:r>
      <w:r w:rsidR="009E45FD">
        <w:t xml:space="preserve"> One local resident argued that the Plan has a limited vision for reimagining traffic flows through the area.  </w:t>
      </w:r>
      <w:r w:rsidR="00D43429">
        <w:t>It was suggested that t</w:t>
      </w:r>
      <w:r w:rsidR="009E45FD">
        <w:t xml:space="preserve">hrough routes need to be restricted, more priority given to road narrowing schemes, with parking provision limited, and cycling given a higher profile.  Historic England also observed that Fitzrovia </w:t>
      </w:r>
      <w:r w:rsidR="000E6193">
        <w:t>W</w:t>
      </w:r>
      <w:r w:rsidR="009E45FD">
        <w:t xml:space="preserve">est is well placed to encourage a greater shift to sustainable transport. </w:t>
      </w:r>
      <w:r w:rsidR="000E6193">
        <w:t xml:space="preserve"> TfL requested, in its Regulation 16 consultation response that (i) Crossrail 2 be included in the FWNP; (ii) the Mayor of London’s Vision Zero approach to eliminating all deaths and serious injuries on the road network by 2041 be mentioned; and (iii) residents of new developments </w:t>
      </w:r>
      <w:r w:rsidR="004A532A">
        <w:t xml:space="preserve">be eliminated </w:t>
      </w:r>
      <w:r w:rsidR="000E6193">
        <w:t>from eligibility for residents’ parking permits.</w:t>
      </w:r>
    </w:p>
    <w:p w14:paraId="6CE58B20" w14:textId="64A5C483" w:rsidR="009E45FD" w:rsidRDefault="009E45FD" w:rsidP="008B0C58">
      <w:pPr>
        <w:ind w:left="720" w:hanging="720"/>
        <w:jc w:val="left"/>
      </w:pPr>
    </w:p>
    <w:p w14:paraId="406246FD" w14:textId="6FB9CF60" w:rsidR="007346FC" w:rsidRDefault="00D51977" w:rsidP="008B0C58">
      <w:pPr>
        <w:ind w:left="720" w:hanging="720"/>
        <w:jc w:val="left"/>
      </w:pPr>
      <w:r>
        <w:t>4.3</w:t>
      </w:r>
      <w:r w:rsidR="00001E4F">
        <w:t>6</w:t>
      </w:r>
      <w:r w:rsidR="004A532A">
        <w:t xml:space="preserve"> </w:t>
      </w:r>
      <w:r w:rsidR="00015BA5">
        <w:tab/>
      </w:r>
      <w:r w:rsidR="004A532A">
        <w:t xml:space="preserve">I consider that the proposed modifications to Policy PR2 vii: Housing Provision </w:t>
      </w:r>
      <w:r w:rsidR="004D19C6">
        <w:t xml:space="preserve">(PM5) </w:t>
      </w:r>
      <w:r w:rsidR="004A532A">
        <w:t xml:space="preserve">should </w:t>
      </w:r>
      <w:r w:rsidR="004D19C6">
        <w:t xml:space="preserve">provide </w:t>
      </w:r>
      <w:r w:rsidR="004A532A">
        <w:t>clarif</w:t>
      </w:r>
      <w:r w:rsidR="004D19C6">
        <w:t>ication</w:t>
      </w:r>
      <w:r w:rsidR="004A532A">
        <w:t xml:space="preserve"> that new residential development </w:t>
      </w:r>
      <w:r w:rsidR="004D19C6">
        <w:t xml:space="preserve">should </w:t>
      </w:r>
      <w:r w:rsidR="007A17B7">
        <w:t>not include</w:t>
      </w:r>
      <w:r w:rsidR="004D19C6">
        <w:t xml:space="preserve"> new parking spaces</w:t>
      </w:r>
      <w:r w:rsidR="004A532A">
        <w:t>.</w:t>
      </w:r>
      <w:r w:rsidR="00D43429">
        <w:t xml:space="preserve">  This modification should contribute to a mo</w:t>
      </w:r>
      <w:r w:rsidR="00CC7BCB">
        <w:t>re sustainable transport system, and address TfL’s point.  The Forum contend</w:t>
      </w:r>
      <w:r w:rsidR="007A17B7">
        <w:t>s</w:t>
      </w:r>
      <w:r w:rsidR="00CC7BCB">
        <w:t xml:space="preserve"> that, as Crossrail 2 will not include stations within Fitzrovia West, it is not necessary to refer to it in the Plan.  I support this position but consider that the supporting text in paragraphs 9.4 and 9.5 could be expanded to refer to the Mayor’s Vision Zero.  The Strategic Plan </w:t>
      </w:r>
      <w:r w:rsidR="0094188D">
        <w:t>c</w:t>
      </w:r>
      <w:r w:rsidR="00CC7BCB">
        <w:t>ontext for Policies T1 and T2 should also be updated to refer to the more recent</w:t>
      </w:r>
      <w:r w:rsidR="00762030">
        <w:t xml:space="preserve"> Publication London Plan (December 2020)</w:t>
      </w:r>
      <w:r w:rsidR="00CC7BCB">
        <w:t>: T2 (Healthy streets), T5 (Cycling), T6.1 (Residential parking), T6.2 (Office parking), and T7 (deliveries, servicing and construction</w:t>
      </w:r>
      <w:r w:rsidR="0094188D">
        <w:t>)</w:t>
      </w:r>
      <w:r w:rsidR="00CC7BCB">
        <w:t xml:space="preserve">. </w:t>
      </w:r>
      <w:r w:rsidR="007A17B7">
        <w:t xml:space="preserve"> It may be difficult to provide off-street space for bicycle storage in new developments because of the intensity of development in the area, but I am satisfied that Policy T1c. should afford some flexibility.  </w:t>
      </w:r>
    </w:p>
    <w:p w14:paraId="154A313A" w14:textId="77777777" w:rsidR="00CC7BCB" w:rsidRDefault="00CC7BCB" w:rsidP="008B0C58">
      <w:pPr>
        <w:jc w:val="left"/>
      </w:pPr>
    </w:p>
    <w:p w14:paraId="5A4F4553" w14:textId="5AAAE330" w:rsidR="004A532A" w:rsidRDefault="00D51977" w:rsidP="008B0C58">
      <w:pPr>
        <w:ind w:left="720" w:hanging="720"/>
        <w:jc w:val="left"/>
      </w:pPr>
      <w:r>
        <w:t>4.3</w:t>
      </w:r>
      <w:r w:rsidR="00001E4F">
        <w:t>7</w:t>
      </w:r>
      <w:r w:rsidR="00CC7BCB">
        <w:t xml:space="preserve"> </w:t>
      </w:r>
      <w:r w:rsidR="00015BA5">
        <w:tab/>
      </w:r>
      <w:r w:rsidR="004D19C6">
        <w:t xml:space="preserve">A London taxi driver questioned whether total gridlock would occur if traffic was confined to the main distributor roads and given restricted access only to smaller roads, as proposed in Policy T1d.  The SOCG proposes modifications to paragraph 9.5 </w:t>
      </w:r>
      <w:r w:rsidR="007A7974">
        <w:t>to remove the reference to named major highways and confirm that access for taxis, emergency vehicles and deliveries to smaller side streets should be maintained.</w:t>
      </w:r>
      <w:r w:rsidR="007346FC" w:rsidRPr="007346FC">
        <w:t xml:space="preserve"> </w:t>
      </w:r>
      <w:r w:rsidR="007346FC">
        <w:t xml:space="preserve"> I consider that Policy T1 satisfies the Basic Conditions, but the supporting text should be modified, as in </w:t>
      </w:r>
      <w:r w:rsidR="007346FC">
        <w:rPr>
          <w:b/>
        </w:rPr>
        <w:t xml:space="preserve">PM16 </w:t>
      </w:r>
      <w:r w:rsidR="007346FC">
        <w:t>so that the FWNP is more reflective of the emerging London Plan policy for sustainable transport.</w:t>
      </w:r>
    </w:p>
    <w:p w14:paraId="2E237764" w14:textId="77777777" w:rsidR="007346FC" w:rsidRDefault="007346FC" w:rsidP="008B0C58">
      <w:pPr>
        <w:jc w:val="left"/>
      </w:pPr>
    </w:p>
    <w:p w14:paraId="21A802EF" w14:textId="215A5441" w:rsidR="007346FC" w:rsidRDefault="00D51977" w:rsidP="008B0C58">
      <w:pPr>
        <w:ind w:left="720" w:hanging="720"/>
        <w:jc w:val="left"/>
      </w:pPr>
      <w:r>
        <w:t>4.3</w:t>
      </w:r>
      <w:r w:rsidR="00001E4F">
        <w:t>8</w:t>
      </w:r>
      <w:r w:rsidR="007346FC">
        <w:t xml:space="preserve"> </w:t>
      </w:r>
      <w:r w:rsidR="00015BA5">
        <w:tab/>
      </w:r>
      <w:r w:rsidR="007346FC">
        <w:t>The SOCG proposes modification to Policy T2: Improving the distribution and delivery of good</w:t>
      </w:r>
      <w:r w:rsidR="00157AE0">
        <w:t>s</w:t>
      </w:r>
      <w:r w:rsidR="007346FC">
        <w:t xml:space="preserve"> to local businesses.  This would remove the generalised reference to increasing the use of electric vehicles, which is arguably not subject to control through planning, but add a clause </w:t>
      </w:r>
      <w:r w:rsidR="007346FC">
        <w:lastRenderedPageBreak/>
        <w:t xml:space="preserve">supporting sustainable means of goods distribution including use of electric vehicles, cargo bicycles and walking.  I support this modification as in </w:t>
      </w:r>
      <w:r w:rsidR="007346FC">
        <w:rPr>
          <w:b/>
        </w:rPr>
        <w:t>PM17</w:t>
      </w:r>
      <w:r w:rsidR="007346FC">
        <w:t xml:space="preserve">, </w:t>
      </w:r>
      <w:r w:rsidR="006727B4">
        <w:t xml:space="preserve">having regard for national policy and </w:t>
      </w:r>
      <w:r w:rsidR="007346FC">
        <w:t xml:space="preserve">to contribute to the achievement of sustainable development.  </w:t>
      </w:r>
    </w:p>
    <w:p w14:paraId="458548DD" w14:textId="77777777" w:rsidR="00157AE0" w:rsidRDefault="00157AE0" w:rsidP="008B0C58">
      <w:pPr>
        <w:jc w:val="left"/>
      </w:pPr>
    </w:p>
    <w:p w14:paraId="25492F69" w14:textId="52B6A77C" w:rsidR="00157AE0" w:rsidRPr="009E45FD" w:rsidRDefault="00D51977" w:rsidP="008B0C58">
      <w:pPr>
        <w:ind w:left="720" w:hanging="720"/>
        <w:jc w:val="left"/>
      </w:pPr>
      <w:r>
        <w:t>4.3</w:t>
      </w:r>
      <w:r w:rsidR="00001E4F">
        <w:t>9</w:t>
      </w:r>
      <w:r w:rsidR="00157AE0">
        <w:t xml:space="preserve"> </w:t>
      </w:r>
      <w:r w:rsidR="00015BA5">
        <w:tab/>
      </w:r>
      <w:r w:rsidR="00157AE0">
        <w:t>The Appendices to the FWNP include some useful information for its readers and users</w:t>
      </w:r>
      <w:r w:rsidR="009046AE">
        <w:t>, as I reported in paragraph 4.9 above</w:t>
      </w:r>
      <w:r w:rsidR="00157AE0">
        <w:t xml:space="preserve">.  </w:t>
      </w:r>
      <w:r w:rsidR="00D37558">
        <w:t>Subject to modifications set out earlier</w:t>
      </w:r>
      <w:r w:rsidR="001734A9">
        <w:t xml:space="preserve"> in my report, I consider that the Appendices add value to the overall Plan.</w:t>
      </w:r>
      <w:r w:rsidR="009046AE">
        <w:t xml:space="preserve">  As long as the proposed modifications </w:t>
      </w:r>
      <w:r w:rsidR="009046AE">
        <w:rPr>
          <w:b/>
        </w:rPr>
        <w:t>PM4-17</w:t>
      </w:r>
      <w:r w:rsidR="009046AE">
        <w:t xml:space="preserve"> are made, I conclude that the policies and their supporting text </w:t>
      </w:r>
      <w:r w:rsidR="000252D9">
        <w:t>satisfy the Basic Conditions for neighbourhood planning.</w:t>
      </w:r>
    </w:p>
    <w:p w14:paraId="03ACA2EB" w14:textId="3A4CCB9D" w:rsidR="00E718D8" w:rsidRDefault="00E718D8" w:rsidP="008B0C58">
      <w:pPr>
        <w:ind w:left="0" w:firstLine="0"/>
        <w:jc w:val="left"/>
        <w:rPr>
          <w:b/>
        </w:rPr>
      </w:pPr>
    </w:p>
    <w:p w14:paraId="103F5B87" w14:textId="77777777" w:rsidR="00FE2AEB" w:rsidRDefault="00FE2AEB" w:rsidP="008B0C58">
      <w:pPr>
        <w:ind w:left="0" w:firstLine="0"/>
        <w:jc w:val="left"/>
        <w:rPr>
          <w:b/>
        </w:rPr>
      </w:pPr>
    </w:p>
    <w:p w14:paraId="10F2C7B3" w14:textId="77777777" w:rsidR="009F685C" w:rsidRDefault="009F685C" w:rsidP="008B0C58">
      <w:pPr>
        <w:ind w:left="0" w:firstLine="0"/>
        <w:jc w:val="left"/>
        <w:rPr>
          <w:b/>
        </w:rPr>
      </w:pPr>
      <w:r>
        <w:rPr>
          <w:b/>
        </w:rPr>
        <w:t>5</w:t>
      </w:r>
      <w:r w:rsidRPr="00846A98">
        <w:rPr>
          <w:b/>
        </w:rPr>
        <w:t>. C</w:t>
      </w:r>
      <w:r>
        <w:rPr>
          <w:b/>
        </w:rPr>
        <w:t>onclusions</w:t>
      </w:r>
    </w:p>
    <w:p w14:paraId="4CE3C597" w14:textId="77777777" w:rsidR="00971A14" w:rsidRDefault="00971A14" w:rsidP="008B0C58">
      <w:pPr>
        <w:contextualSpacing/>
        <w:jc w:val="left"/>
        <w:rPr>
          <w:i/>
          <w:szCs w:val="22"/>
          <w:lang w:eastAsia="en-US"/>
        </w:rPr>
      </w:pPr>
    </w:p>
    <w:p w14:paraId="59200819" w14:textId="77777777" w:rsidR="00514D35" w:rsidRPr="009641FD" w:rsidRDefault="009641FD" w:rsidP="008B0C58">
      <w:pPr>
        <w:contextualSpacing/>
        <w:jc w:val="left"/>
        <w:rPr>
          <w:i/>
          <w:szCs w:val="22"/>
          <w:lang w:eastAsia="en-US"/>
        </w:rPr>
      </w:pPr>
      <w:r w:rsidRPr="009641FD">
        <w:rPr>
          <w:i/>
          <w:szCs w:val="22"/>
          <w:lang w:eastAsia="en-US"/>
        </w:rPr>
        <w:t xml:space="preserve">Summary </w:t>
      </w:r>
    </w:p>
    <w:p w14:paraId="3CE3838B" w14:textId="77777777" w:rsidR="009A4728" w:rsidRDefault="009A4728" w:rsidP="008B0C58">
      <w:pPr>
        <w:contextualSpacing/>
        <w:jc w:val="left"/>
      </w:pPr>
    </w:p>
    <w:p w14:paraId="7F3A4AE0" w14:textId="02DC16A8" w:rsidR="005C46B1" w:rsidRDefault="009641FD" w:rsidP="008B0C58">
      <w:pPr>
        <w:ind w:left="720" w:hanging="720"/>
        <w:contextualSpacing/>
        <w:jc w:val="left"/>
        <w:rPr>
          <w:color w:val="808080" w:themeColor="background1" w:themeShade="80"/>
          <w:szCs w:val="22"/>
          <w:lang w:eastAsia="en-US"/>
        </w:rPr>
      </w:pPr>
      <w:r>
        <w:t xml:space="preserve">5.1 </w:t>
      </w:r>
      <w:r w:rsidR="00015BA5">
        <w:tab/>
      </w:r>
      <w:r w:rsidR="00CF13CE">
        <w:t xml:space="preserve">The </w:t>
      </w:r>
      <w:r w:rsidR="00157AE0">
        <w:t>FWNP</w:t>
      </w:r>
      <w:r w:rsidR="00CF13CE">
        <w:t xml:space="preserve"> has been duly prepared in compliance with the procedural requirements.</w:t>
      </w:r>
      <w:r w:rsidR="00157AE0">
        <w:t xml:space="preserve"> </w:t>
      </w:r>
      <w:r w:rsidR="00CF13CE">
        <w:t xml:space="preserve"> </w:t>
      </w:r>
      <w:r w:rsidR="00CF13CE">
        <w:rPr>
          <w:szCs w:val="22"/>
          <w:lang w:eastAsia="en-US"/>
        </w:rPr>
        <w:t>My examinatio</w:t>
      </w:r>
      <w:r w:rsidR="00E718D8">
        <w:rPr>
          <w:szCs w:val="22"/>
          <w:lang w:eastAsia="en-US"/>
        </w:rPr>
        <w:t>n has investigated whether the P</w:t>
      </w:r>
      <w:r w:rsidR="00CF13CE">
        <w:rPr>
          <w:szCs w:val="22"/>
          <w:lang w:eastAsia="en-US"/>
        </w:rPr>
        <w:t xml:space="preserve">lan meets the Basic Conditions </w:t>
      </w:r>
      <w:r w:rsidR="0054410D">
        <w:rPr>
          <w:szCs w:val="22"/>
          <w:lang w:eastAsia="en-US"/>
        </w:rPr>
        <w:t xml:space="preserve">and other legal requirements </w:t>
      </w:r>
      <w:r w:rsidR="00CF13CE">
        <w:rPr>
          <w:szCs w:val="22"/>
          <w:lang w:eastAsia="en-US"/>
        </w:rPr>
        <w:t xml:space="preserve">for neighbourhood plans.  </w:t>
      </w:r>
      <w:r w:rsidR="00E55775">
        <w:rPr>
          <w:szCs w:val="22"/>
          <w:lang w:eastAsia="en-US"/>
        </w:rPr>
        <w:t xml:space="preserve">I have had regard for all the responses made following consultation on the </w:t>
      </w:r>
      <w:r w:rsidR="005C2387">
        <w:rPr>
          <w:szCs w:val="22"/>
          <w:lang w:eastAsia="en-US"/>
        </w:rPr>
        <w:t>N</w:t>
      </w:r>
      <w:r w:rsidR="00E55775">
        <w:rPr>
          <w:szCs w:val="22"/>
          <w:lang w:eastAsia="en-US"/>
        </w:rPr>
        <w:t xml:space="preserve">eighbourhood </w:t>
      </w:r>
      <w:r w:rsidR="005C2387">
        <w:rPr>
          <w:szCs w:val="22"/>
          <w:lang w:eastAsia="en-US"/>
        </w:rPr>
        <w:t>P</w:t>
      </w:r>
      <w:r w:rsidR="00E55775">
        <w:rPr>
          <w:szCs w:val="22"/>
          <w:lang w:eastAsia="en-US"/>
        </w:rPr>
        <w:t xml:space="preserve">lan, and the evidence documents submitted with it.  </w:t>
      </w:r>
    </w:p>
    <w:p w14:paraId="7A577C57" w14:textId="77777777" w:rsidR="009F685C" w:rsidRDefault="009F685C" w:rsidP="008B0C58">
      <w:pPr>
        <w:ind w:left="0" w:firstLine="0"/>
        <w:jc w:val="left"/>
      </w:pPr>
    </w:p>
    <w:p w14:paraId="094A174F" w14:textId="505DE553" w:rsidR="004F4901" w:rsidRDefault="00E55775" w:rsidP="008B0C58">
      <w:pPr>
        <w:ind w:left="720" w:hanging="720"/>
        <w:jc w:val="left"/>
      </w:pPr>
      <w:r>
        <w:t xml:space="preserve">5.2 </w:t>
      </w:r>
      <w:r w:rsidR="00015BA5">
        <w:tab/>
      </w:r>
      <w:r w:rsidR="004F4901" w:rsidRPr="00846A98">
        <w:t xml:space="preserve">I have made recommendations to modify a number of policies and text to ensure the </w:t>
      </w:r>
      <w:r w:rsidR="00E718D8">
        <w:t>P</w:t>
      </w:r>
      <w:r w:rsidR="004F4901" w:rsidRPr="00846A98">
        <w:t xml:space="preserve">lan meets </w:t>
      </w:r>
      <w:r w:rsidR="0054410D">
        <w:t xml:space="preserve">the </w:t>
      </w:r>
      <w:r w:rsidR="00473037">
        <w:t>Basic Conditions</w:t>
      </w:r>
      <w:r w:rsidR="0054410D">
        <w:t xml:space="preserve"> and other legal requirements</w:t>
      </w:r>
      <w:r w:rsidR="004F4901" w:rsidRPr="00846A98">
        <w:t>.</w:t>
      </w:r>
      <w:r w:rsidR="00157AE0">
        <w:t xml:space="preserve"> </w:t>
      </w:r>
      <w:r w:rsidR="004F4901" w:rsidRPr="00846A98">
        <w:t xml:space="preserve"> I r</w:t>
      </w:r>
      <w:r w:rsidR="004F4901">
        <w:t xml:space="preserve">ecommend that the </w:t>
      </w:r>
      <w:r w:rsidR="00E718D8">
        <w:t>P</w:t>
      </w:r>
      <w:r w:rsidR="004F4901">
        <w:t xml:space="preserve">lan, once modified, proceeds to referendum. </w:t>
      </w:r>
    </w:p>
    <w:p w14:paraId="48F4ABF0" w14:textId="77777777" w:rsidR="00D5171D" w:rsidRDefault="00D5171D" w:rsidP="008B0C58">
      <w:pPr>
        <w:ind w:left="0" w:firstLine="0"/>
        <w:jc w:val="left"/>
      </w:pPr>
    </w:p>
    <w:p w14:paraId="410DA516" w14:textId="11D37489" w:rsidR="005C46B1" w:rsidRDefault="005C46B1" w:rsidP="008B0C58">
      <w:pPr>
        <w:ind w:left="0" w:firstLine="0"/>
        <w:jc w:val="left"/>
        <w:rPr>
          <w:i/>
        </w:rPr>
      </w:pPr>
      <w:r w:rsidRPr="005C46B1">
        <w:rPr>
          <w:i/>
        </w:rPr>
        <w:t>The Referendum</w:t>
      </w:r>
      <w:r w:rsidR="008F5F47">
        <w:rPr>
          <w:i/>
        </w:rPr>
        <w:t>s</w:t>
      </w:r>
      <w:r w:rsidRPr="005C46B1">
        <w:rPr>
          <w:i/>
        </w:rPr>
        <w:t xml:space="preserve"> and </w:t>
      </w:r>
      <w:r w:rsidR="00CE1C6E">
        <w:rPr>
          <w:i/>
        </w:rPr>
        <w:t>their</w:t>
      </w:r>
      <w:r w:rsidRPr="005C46B1">
        <w:rPr>
          <w:i/>
        </w:rPr>
        <w:t xml:space="preserve"> Area</w:t>
      </w:r>
    </w:p>
    <w:p w14:paraId="43830EBD" w14:textId="77777777" w:rsidR="00DA0078" w:rsidRPr="005C46B1" w:rsidRDefault="00DA0078" w:rsidP="008B0C58">
      <w:pPr>
        <w:ind w:left="0" w:firstLine="0"/>
        <w:jc w:val="left"/>
        <w:rPr>
          <w:i/>
        </w:rPr>
      </w:pPr>
    </w:p>
    <w:p w14:paraId="15D94905" w14:textId="1F5E46DC" w:rsidR="009A4728" w:rsidRPr="00157AE0" w:rsidRDefault="004F4901" w:rsidP="008B0C58">
      <w:pPr>
        <w:ind w:left="720" w:hanging="720"/>
        <w:jc w:val="left"/>
      </w:pPr>
      <w:r>
        <w:t>5.</w:t>
      </w:r>
      <w:r w:rsidR="009641FD">
        <w:t>3</w:t>
      </w:r>
      <w:r>
        <w:t xml:space="preserve"> </w:t>
      </w:r>
      <w:r w:rsidR="00015BA5">
        <w:tab/>
      </w:r>
      <w:r>
        <w:t xml:space="preserve">I have considered whether or not the </w:t>
      </w:r>
      <w:r w:rsidR="00477268">
        <w:t xml:space="preserve">area for the purposes of the two </w:t>
      </w:r>
      <w:r>
        <w:t>referendum</w:t>
      </w:r>
      <w:r w:rsidR="00326C09">
        <w:t>s</w:t>
      </w:r>
      <w:r>
        <w:t xml:space="preserve"> should be extended beyond th</w:t>
      </w:r>
      <w:r w:rsidR="00E718D8">
        <w:t>e designated area to which the P</w:t>
      </w:r>
      <w:r>
        <w:t xml:space="preserve">lan relates. </w:t>
      </w:r>
      <w:r w:rsidR="00157AE0">
        <w:t xml:space="preserve"> </w:t>
      </w:r>
      <w:r w:rsidR="00D4654B" w:rsidRPr="00157AE0">
        <w:t xml:space="preserve">The </w:t>
      </w:r>
      <w:r w:rsidR="00157AE0">
        <w:t>FWNP</w:t>
      </w:r>
      <w:r w:rsidRPr="00157AE0">
        <w:t xml:space="preserve"> as modified has no policy or proposals which I consider significant enough to have an impact beyond the designated </w:t>
      </w:r>
      <w:r w:rsidR="005C2387" w:rsidRPr="00157AE0">
        <w:t>N</w:t>
      </w:r>
      <w:r w:rsidR="00E55775" w:rsidRPr="00157AE0">
        <w:t xml:space="preserve">eighbourhood </w:t>
      </w:r>
      <w:r w:rsidR="005C2387" w:rsidRPr="00157AE0">
        <w:t>P</w:t>
      </w:r>
      <w:r w:rsidRPr="00157AE0">
        <w:t xml:space="preserve">lan </w:t>
      </w:r>
      <w:r w:rsidR="00E55775" w:rsidRPr="00157AE0">
        <w:t>b</w:t>
      </w:r>
      <w:r w:rsidRPr="00157AE0">
        <w:t>oundary, requir</w:t>
      </w:r>
      <w:r w:rsidR="0056421B" w:rsidRPr="00157AE0">
        <w:t>ing</w:t>
      </w:r>
      <w:r w:rsidRPr="00157AE0">
        <w:t xml:space="preserve"> the referendum</w:t>
      </w:r>
      <w:r w:rsidR="00516D56">
        <w:t>s</w:t>
      </w:r>
      <w:r w:rsidRPr="00157AE0">
        <w:t xml:space="preserve"> to extend </w:t>
      </w:r>
      <w:r w:rsidR="00E55775" w:rsidRPr="00157AE0">
        <w:t xml:space="preserve">to areas </w:t>
      </w:r>
      <w:r w:rsidRPr="00157AE0">
        <w:t xml:space="preserve">beyond the </w:t>
      </w:r>
      <w:r w:rsidR="005C2387" w:rsidRPr="00157AE0">
        <w:t>P</w:t>
      </w:r>
      <w:r w:rsidRPr="00157AE0">
        <w:t>lan boundary.</w:t>
      </w:r>
      <w:r w:rsidR="006C302C">
        <w:t xml:space="preserve"> </w:t>
      </w:r>
      <w:r w:rsidRPr="00157AE0">
        <w:t xml:space="preserve"> </w:t>
      </w:r>
      <w:r w:rsidR="009C7AB3" w:rsidRPr="00157AE0">
        <w:t>I recommend that the boundary for the purposes of any future referendum</w:t>
      </w:r>
      <w:r w:rsidR="00516D56">
        <w:t>s</w:t>
      </w:r>
      <w:r w:rsidR="009C7AB3" w:rsidRPr="00157AE0">
        <w:t xml:space="preserve"> on the </w:t>
      </w:r>
      <w:r w:rsidR="005C2387" w:rsidRPr="00157AE0">
        <w:t>P</w:t>
      </w:r>
      <w:r w:rsidR="009C7AB3" w:rsidRPr="00157AE0">
        <w:t>lan sh</w:t>
      </w:r>
      <w:r w:rsidR="00E55775" w:rsidRPr="00157AE0">
        <w:t>ou</w:t>
      </w:r>
      <w:r w:rsidR="009C7AB3" w:rsidRPr="00157AE0">
        <w:t>l</w:t>
      </w:r>
      <w:r w:rsidR="00E55775" w:rsidRPr="00157AE0">
        <w:t>d</w:t>
      </w:r>
      <w:r w:rsidR="009C7AB3" w:rsidRPr="00157AE0">
        <w:t xml:space="preserve"> be </w:t>
      </w:r>
      <w:r w:rsidR="00E55775" w:rsidRPr="00157AE0">
        <w:t xml:space="preserve">the boundary of the designated </w:t>
      </w:r>
      <w:r w:rsidR="005C2387" w:rsidRPr="00157AE0">
        <w:t>N</w:t>
      </w:r>
      <w:r w:rsidR="009C7AB3" w:rsidRPr="00157AE0">
        <w:t xml:space="preserve">eighbourhood </w:t>
      </w:r>
      <w:r w:rsidR="005C2387" w:rsidRPr="00157AE0">
        <w:t>P</w:t>
      </w:r>
      <w:r w:rsidR="009C7AB3" w:rsidRPr="00157AE0">
        <w:t xml:space="preserve">lan </w:t>
      </w:r>
      <w:r w:rsidR="005C2387" w:rsidRPr="00157AE0">
        <w:t>A</w:t>
      </w:r>
      <w:r w:rsidR="009C7AB3" w:rsidRPr="00157AE0">
        <w:t>rea</w:t>
      </w:r>
      <w:r w:rsidR="00D4654B" w:rsidRPr="00157AE0">
        <w:t>.</w:t>
      </w:r>
    </w:p>
    <w:p w14:paraId="4BD30EEC" w14:textId="6A911EE3" w:rsidR="009A4728" w:rsidRDefault="009A4728" w:rsidP="008B0C58">
      <w:pPr>
        <w:jc w:val="left"/>
      </w:pPr>
    </w:p>
    <w:p w14:paraId="5C5ACFFE" w14:textId="0F2FEEE4" w:rsidR="00015BA5" w:rsidRDefault="00015BA5" w:rsidP="008B0C58">
      <w:pPr>
        <w:jc w:val="left"/>
        <w:rPr>
          <w:i/>
          <w:iCs/>
        </w:rPr>
      </w:pPr>
      <w:r w:rsidRPr="00015BA5">
        <w:rPr>
          <w:i/>
          <w:iCs/>
        </w:rPr>
        <w:t>Overview</w:t>
      </w:r>
    </w:p>
    <w:p w14:paraId="3CEC50B5" w14:textId="77777777" w:rsidR="008F5F47" w:rsidRPr="00015BA5" w:rsidRDefault="008F5F47" w:rsidP="008B0C58">
      <w:pPr>
        <w:jc w:val="left"/>
        <w:rPr>
          <w:i/>
          <w:iCs/>
        </w:rPr>
      </w:pPr>
    </w:p>
    <w:p w14:paraId="7AF03FDC" w14:textId="406EC31C" w:rsidR="00157AE0" w:rsidRDefault="0043181A" w:rsidP="008B0C58">
      <w:pPr>
        <w:ind w:left="720" w:hanging="720"/>
        <w:jc w:val="left"/>
      </w:pPr>
      <w:r>
        <w:t xml:space="preserve">5.4 </w:t>
      </w:r>
      <w:r w:rsidR="00015BA5">
        <w:tab/>
      </w:r>
      <w:r w:rsidR="001734A9">
        <w:t xml:space="preserve">The FWNP is a concise and focussed neighbourhood plan which follows a well-designed structure.  Its policies follow from a </w:t>
      </w:r>
      <w:r w:rsidR="006C302C">
        <w:t xml:space="preserve">community </w:t>
      </w:r>
      <w:r w:rsidR="00865081">
        <w:t>vision</w:t>
      </w:r>
      <w:r w:rsidR="00F32F70">
        <w:t>,</w:t>
      </w:r>
      <w:r w:rsidR="00865081">
        <w:t xml:space="preserve"> followed by forward-looking objectives for five key areas (</w:t>
      </w:r>
      <w:r w:rsidR="00524555">
        <w:t>r</w:t>
      </w:r>
      <w:r w:rsidR="00865081">
        <w:t>egeneration, business uses and development, green and open space, environmental quality, and mobility and transport</w:t>
      </w:r>
      <w:r w:rsidR="00293D76">
        <w:t>)</w:t>
      </w:r>
      <w:r w:rsidR="00865081">
        <w:t xml:space="preserve">.  I commend the Forum for producing a well-written document which deals with the complexities of this intensively developed part of Central London in a logical </w:t>
      </w:r>
      <w:r w:rsidR="00293D76">
        <w:t xml:space="preserve">and comprehensive </w:t>
      </w:r>
      <w:r w:rsidR="00865081">
        <w:t xml:space="preserve">manner.  </w:t>
      </w:r>
      <w:r w:rsidR="0059168C">
        <w:t>It is noteworthy that a</w:t>
      </w:r>
      <w:r w:rsidR="000D5E7F">
        <w:t xml:space="preserve"> significant</w:t>
      </w:r>
      <w:r w:rsidR="0059168C">
        <w:t xml:space="preserve"> number of the responses to the Regulation 16 consultation exercise expressed </w:t>
      </w:r>
      <w:r w:rsidR="000D5E7F">
        <w:t xml:space="preserve">support </w:t>
      </w:r>
      <w:r w:rsidR="000D5E7F">
        <w:lastRenderedPageBreak/>
        <w:t xml:space="preserve">for the submitted FWNP.  </w:t>
      </w:r>
      <w:r w:rsidR="00865081">
        <w:t xml:space="preserve">As the Neighbourhood </w:t>
      </w:r>
      <w:r w:rsidR="00B4579D">
        <w:t xml:space="preserve">Forum </w:t>
      </w:r>
      <w:r w:rsidR="00865081">
        <w:t xml:space="preserve">was first designated in March 2014, and re-designated in February 2020, the Forum has </w:t>
      </w:r>
      <w:r w:rsidR="00293D76">
        <w:t xml:space="preserve">had to </w:t>
      </w:r>
      <w:r w:rsidR="00865081">
        <w:t>carr</w:t>
      </w:r>
      <w:r w:rsidR="00293D76">
        <w:t>y</w:t>
      </w:r>
      <w:r w:rsidR="00865081">
        <w:t xml:space="preserve"> out a considerable amount of work preparing and developing the Plan over </w:t>
      </w:r>
      <w:r w:rsidR="00186C10">
        <w:t>a number of</w:t>
      </w:r>
      <w:r w:rsidR="00865081">
        <w:t xml:space="preserve"> years.</w:t>
      </w:r>
      <w:r w:rsidR="00293D76">
        <w:t xml:space="preserve">  The Forum has had to deal with ongoing changes, most recently those surrounding the </w:t>
      </w:r>
      <w:r w:rsidR="00D5171D">
        <w:t>C</w:t>
      </w:r>
      <w:r w:rsidR="00293D76">
        <w:t>ovid-19 pandemic.  In addition, the Plan has been prepared in the context of changes at the strategic planning level, because both the London Plan and WCC City Plan are currently being revised.  I congratulate the Forum for producing the WFNP which</w:t>
      </w:r>
      <w:r w:rsidR="0092624D">
        <w:t xml:space="preserve">, following referendum and adoption, </w:t>
      </w:r>
      <w:r w:rsidR="00293D76">
        <w:t>should</w:t>
      </w:r>
      <w:r w:rsidR="0092624D">
        <w:t xml:space="preserve"> greatly assist decision-taking on development proposals for Fitzrovia West. </w:t>
      </w:r>
      <w:r w:rsidR="00293D76">
        <w:t xml:space="preserve">  </w:t>
      </w:r>
    </w:p>
    <w:p w14:paraId="6DCEC9BD" w14:textId="77777777" w:rsidR="00157AE0" w:rsidRDefault="00157AE0" w:rsidP="008B0C58">
      <w:pPr>
        <w:jc w:val="left"/>
      </w:pPr>
    </w:p>
    <w:p w14:paraId="311E4A60" w14:textId="77777777" w:rsidR="00156741" w:rsidRDefault="00156741" w:rsidP="008B0C58">
      <w:pPr>
        <w:jc w:val="left"/>
        <w:rPr>
          <w:rFonts w:ascii="Lucida Handwriting" w:hAnsi="Lucida Handwriting"/>
          <w:i/>
          <w:sz w:val="28"/>
          <w:szCs w:val="28"/>
        </w:rPr>
      </w:pPr>
    </w:p>
    <w:p w14:paraId="7218224F" w14:textId="77777777" w:rsidR="009A4728" w:rsidRPr="009A4728" w:rsidRDefault="0092624D" w:rsidP="00E55775">
      <w:pPr>
        <w:spacing w:line="259" w:lineRule="auto"/>
        <w:jc w:val="left"/>
        <w:rPr>
          <w:rFonts w:ascii="Lucida Handwriting" w:hAnsi="Lucida Handwriting"/>
          <w:i/>
          <w:sz w:val="28"/>
          <w:szCs w:val="28"/>
        </w:rPr>
      </w:pPr>
      <w:r>
        <w:rPr>
          <w:rFonts w:ascii="Lucida Handwriting" w:hAnsi="Lucida Handwriting"/>
          <w:i/>
          <w:sz w:val="28"/>
          <w:szCs w:val="28"/>
        </w:rPr>
        <w:t>Jill Kingaby</w:t>
      </w:r>
    </w:p>
    <w:p w14:paraId="22E91DF2" w14:textId="77777777" w:rsidR="0043181A" w:rsidRDefault="0043181A" w:rsidP="00E55775">
      <w:pPr>
        <w:spacing w:line="259" w:lineRule="auto"/>
        <w:jc w:val="left"/>
      </w:pPr>
    </w:p>
    <w:p w14:paraId="642EA075" w14:textId="77777777" w:rsidR="009A4728" w:rsidRPr="009A4728" w:rsidRDefault="009A4728" w:rsidP="00E55775">
      <w:pPr>
        <w:spacing w:line="259" w:lineRule="auto"/>
        <w:jc w:val="left"/>
      </w:pPr>
      <w:r w:rsidRPr="009A4728">
        <w:t>Examiner</w:t>
      </w:r>
    </w:p>
    <w:p w14:paraId="4844BD83" w14:textId="77777777" w:rsidR="00BF5FC0" w:rsidRDefault="00BF5FC0">
      <w:pPr>
        <w:spacing w:after="160" w:line="259" w:lineRule="auto"/>
        <w:ind w:left="0" w:firstLine="0"/>
        <w:jc w:val="left"/>
        <w:rPr>
          <w:b/>
        </w:rPr>
      </w:pPr>
      <w:r>
        <w:rPr>
          <w:b/>
        </w:rPr>
        <w:br w:type="page"/>
      </w:r>
    </w:p>
    <w:p w14:paraId="6F763897" w14:textId="01DAF70F" w:rsidR="00A67E7B" w:rsidRDefault="00A67E7B">
      <w:pPr>
        <w:rPr>
          <w:b/>
        </w:rPr>
      </w:pPr>
      <w:r w:rsidRPr="0056421B">
        <w:rPr>
          <w:b/>
        </w:rPr>
        <w:lastRenderedPageBreak/>
        <w:t>A</w:t>
      </w:r>
      <w:r w:rsidR="003C5B31">
        <w:rPr>
          <w:b/>
        </w:rPr>
        <w:t>pp</w:t>
      </w:r>
      <w:r w:rsidRPr="0056421B">
        <w:rPr>
          <w:b/>
        </w:rPr>
        <w:t>e</w:t>
      </w:r>
      <w:r w:rsidR="003C5B31">
        <w:rPr>
          <w:b/>
        </w:rPr>
        <w:t>ndi</w:t>
      </w:r>
      <w:r w:rsidR="00AE0094">
        <w:rPr>
          <w:b/>
        </w:rPr>
        <w:t>x</w:t>
      </w:r>
      <w:r w:rsidR="00A82DB6">
        <w:rPr>
          <w:b/>
        </w:rPr>
        <w:t xml:space="preserve"> 1</w:t>
      </w:r>
      <w:r w:rsidR="0023667C" w:rsidRPr="0056421B">
        <w:rPr>
          <w:b/>
        </w:rPr>
        <w:t>:</w:t>
      </w:r>
      <w:r w:rsidRPr="0056421B">
        <w:rPr>
          <w:b/>
        </w:rPr>
        <w:t xml:space="preserve"> Modifications</w:t>
      </w:r>
    </w:p>
    <w:p w14:paraId="68E86FA6" w14:textId="38101E4E" w:rsidR="00AE0280" w:rsidRDefault="00AE0280">
      <w:pPr>
        <w:rPr>
          <w:b/>
        </w:rPr>
      </w:pPr>
    </w:p>
    <w:p w14:paraId="5D67587F" w14:textId="10D8058D" w:rsidR="00AE0280" w:rsidRPr="008D738E" w:rsidRDefault="00AE0280" w:rsidP="008D738E">
      <w:pPr>
        <w:ind w:left="0" w:firstLine="0"/>
        <w:jc w:val="left"/>
        <w:rPr>
          <w:bCs/>
        </w:rPr>
      </w:pPr>
      <w:r w:rsidRPr="008D738E">
        <w:rPr>
          <w:bCs/>
          <w:u w:val="single"/>
        </w:rPr>
        <w:t>Note</w:t>
      </w:r>
      <w:r w:rsidRPr="008D738E">
        <w:rPr>
          <w:bCs/>
        </w:rPr>
        <w:t xml:space="preserve">: References </w:t>
      </w:r>
      <w:r w:rsidR="001C5D89" w:rsidRPr="008D738E">
        <w:rPr>
          <w:bCs/>
        </w:rPr>
        <w:t xml:space="preserve">to the ‘SOCG’ </w:t>
      </w:r>
      <w:r w:rsidRPr="008D738E">
        <w:rPr>
          <w:bCs/>
        </w:rPr>
        <w:t>in the propo</w:t>
      </w:r>
      <w:r w:rsidR="001C5D89" w:rsidRPr="008D738E">
        <w:rPr>
          <w:bCs/>
        </w:rPr>
        <w:t>sed modifications</w:t>
      </w:r>
      <w:r w:rsidR="00BF5FC0">
        <w:rPr>
          <w:bCs/>
        </w:rPr>
        <w:t xml:space="preserve"> (</w:t>
      </w:r>
      <w:r w:rsidR="008D738E">
        <w:rPr>
          <w:bCs/>
        </w:rPr>
        <w:t xml:space="preserve">as </w:t>
      </w:r>
      <w:r w:rsidR="001C5D89" w:rsidRPr="008D738E">
        <w:rPr>
          <w:bCs/>
        </w:rPr>
        <w:t>set out below</w:t>
      </w:r>
      <w:r w:rsidR="00BF5FC0">
        <w:rPr>
          <w:bCs/>
        </w:rPr>
        <w:t>)</w:t>
      </w:r>
      <w:r w:rsidR="001C5D89" w:rsidRPr="008D738E">
        <w:rPr>
          <w:bCs/>
        </w:rPr>
        <w:t xml:space="preserve"> </w:t>
      </w:r>
      <w:r w:rsidR="008D738E" w:rsidRPr="008D738E">
        <w:rPr>
          <w:bCs/>
        </w:rPr>
        <w:t>are to the December 2020 published version</w:t>
      </w:r>
      <w:r w:rsidR="00215DA9">
        <w:rPr>
          <w:rStyle w:val="FootnoteReference"/>
          <w:bCs/>
        </w:rPr>
        <w:footnoteReference w:id="12"/>
      </w:r>
      <w:r w:rsidR="00BF5FC0">
        <w:rPr>
          <w:bCs/>
        </w:rPr>
        <w:t>,</w:t>
      </w:r>
      <w:r w:rsidR="008D738E" w:rsidRPr="008D738E">
        <w:rPr>
          <w:bCs/>
        </w:rPr>
        <w:t xml:space="preserve"> attached as Appendix 2 to this report.</w:t>
      </w:r>
      <w:r w:rsidR="001C5D89" w:rsidRPr="008D738E">
        <w:rPr>
          <w:bCs/>
        </w:rPr>
        <w:t xml:space="preserve"> </w:t>
      </w:r>
    </w:p>
    <w:p w14:paraId="2565F46A" w14:textId="77777777" w:rsidR="00553604" w:rsidRDefault="00553604">
      <w:pPr>
        <w:rPr>
          <w:b/>
        </w:rPr>
      </w:pPr>
    </w:p>
    <w:tbl>
      <w:tblPr>
        <w:tblStyle w:val="TableGrid"/>
        <w:tblW w:w="0" w:type="auto"/>
        <w:tblInd w:w="432" w:type="dxa"/>
        <w:tblLook w:val="04A0" w:firstRow="1" w:lastRow="0" w:firstColumn="1" w:lastColumn="0" w:noHBand="0" w:noVBand="1"/>
      </w:tblPr>
      <w:tblGrid>
        <w:gridCol w:w="2028"/>
        <w:gridCol w:w="1586"/>
        <w:gridCol w:w="4970"/>
      </w:tblGrid>
      <w:tr w:rsidR="00297696" w:rsidRPr="003C5B31" w14:paraId="2981D445" w14:textId="77777777" w:rsidTr="003C5B31">
        <w:tc>
          <w:tcPr>
            <w:tcW w:w="0" w:type="auto"/>
          </w:tcPr>
          <w:p w14:paraId="535E4E37" w14:textId="77777777" w:rsidR="003C5B31" w:rsidRPr="003C5B31" w:rsidRDefault="003C5B31" w:rsidP="00D249AC">
            <w:pPr>
              <w:spacing w:after="160" w:line="259" w:lineRule="auto"/>
              <w:ind w:left="0" w:firstLine="0"/>
              <w:jc w:val="left"/>
              <w:rPr>
                <w:b/>
              </w:rPr>
            </w:pPr>
            <w:r w:rsidRPr="003C5B31">
              <w:rPr>
                <w:b/>
              </w:rPr>
              <w:t>Proposed modification</w:t>
            </w:r>
            <w:r w:rsidR="00C76D91">
              <w:rPr>
                <w:b/>
              </w:rPr>
              <w:t xml:space="preserve"> number</w:t>
            </w:r>
            <w:r w:rsidRPr="003C5B31">
              <w:rPr>
                <w:b/>
              </w:rPr>
              <w:t xml:space="preserve"> (PM)</w:t>
            </w:r>
          </w:p>
        </w:tc>
        <w:tc>
          <w:tcPr>
            <w:tcW w:w="0" w:type="auto"/>
          </w:tcPr>
          <w:p w14:paraId="63EB674D" w14:textId="77777777" w:rsidR="003C5B31" w:rsidRPr="003C5B31" w:rsidRDefault="003C5B31" w:rsidP="00D249AC">
            <w:pPr>
              <w:spacing w:after="160" w:line="259" w:lineRule="auto"/>
              <w:ind w:left="0" w:firstLine="0"/>
              <w:jc w:val="left"/>
              <w:rPr>
                <w:b/>
              </w:rPr>
            </w:pPr>
            <w:r w:rsidRPr="003C5B31">
              <w:rPr>
                <w:b/>
              </w:rPr>
              <w:t>Page no./ other reference</w:t>
            </w:r>
          </w:p>
        </w:tc>
        <w:tc>
          <w:tcPr>
            <w:tcW w:w="0" w:type="auto"/>
          </w:tcPr>
          <w:p w14:paraId="58E6CE36" w14:textId="77777777" w:rsidR="003C5B31" w:rsidRPr="003C5B31" w:rsidRDefault="003C5B31" w:rsidP="00D249AC">
            <w:pPr>
              <w:spacing w:after="160" w:line="259" w:lineRule="auto"/>
              <w:ind w:left="0" w:firstLine="0"/>
              <w:jc w:val="left"/>
              <w:rPr>
                <w:b/>
              </w:rPr>
            </w:pPr>
            <w:r w:rsidRPr="003C5B31">
              <w:rPr>
                <w:b/>
              </w:rPr>
              <w:t>Modification</w:t>
            </w:r>
          </w:p>
        </w:tc>
      </w:tr>
      <w:tr w:rsidR="00297696" w14:paraId="4E0E3CE6" w14:textId="77777777" w:rsidTr="003C5B31">
        <w:tc>
          <w:tcPr>
            <w:tcW w:w="0" w:type="auto"/>
          </w:tcPr>
          <w:p w14:paraId="74B92F0F" w14:textId="77777777" w:rsidR="003C5B31" w:rsidRDefault="003C5B31" w:rsidP="00D249AC">
            <w:pPr>
              <w:spacing w:after="160" w:line="259" w:lineRule="auto"/>
              <w:ind w:left="0" w:firstLine="0"/>
              <w:jc w:val="left"/>
            </w:pPr>
            <w:r>
              <w:t>PM1</w:t>
            </w:r>
          </w:p>
        </w:tc>
        <w:tc>
          <w:tcPr>
            <w:tcW w:w="0" w:type="auto"/>
          </w:tcPr>
          <w:p w14:paraId="7F4F4409" w14:textId="6F6A918A" w:rsidR="00582B82" w:rsidRDefault="00582B82" w:rsidP="00582B82">
            <w:pPr>
              <w:spacing w:after="160" w:line="259" w:lineRule="auto"/>
              <w:ind w:left="0" w:firstLine="0"/>
              <w:jc w:val="left"/>
            </w:pPr>
            <w:r>
              <w:t xml:space="preserve">Front Cover </w:t>
            </w:r>
          </w:p>
          <w:p w14:paraId="1EF21B90" w14:textId="77777777" w:rsidR="00582B82" w:rsidRDefault="00582B82" w:rsidP="00582B82">
            <w:pPr>
              <w:spacing w:after="160" w:line="259" w:lineRule="auto"/>
              <w:ind w:left="0" w:firstLine="0"/>
              <w:jc w:val="left"/>
            </w:pPr>
          </w:p>
          <w:p w14:paraId="49181464" w14:textId="77777777" w:rsidR="00582B82" w:rsidRDefault="00582B82" w:rsidP="00582B82">
            <w:pPr>
              <w:spacing w:after="160" w:line="259" w:lineRule="auto"/>
              <w:ind w:left="0" w:firstLine="0"/>
              <w:jc w:val="left"/>
            </w:pPr>
          </w:p>
          <w:p w14:paraId="3BD31932" w14:textId="77777777" w:rsidR="003C5B31" w:rsidRDefault="003C5B31" w:rsidP="00582B82">
            <w:pPr>
              <w:spacing w:after="160" w:line="259" w:lineRule="auto"/>
              <w:ind w:left="0" w:firstLine="0"/>
              <w:jc w:val="left"/>
            </w:pPr>
            <w:r>
              <w:t>Page</w:t>
            </w:r>
            <w:r w:rsidR="00582B82">
              <w:t xml:space="preserve"> 7</w:t>
            </w:r>
          </w:p>
        </w:tc>
        <w:tc>
          <w:tcPr>
            <w:tcW w:w="0" w:type="auto"/>
          </w:tcPr>
          <w:p w14:paraId="2C7A56FA" w14:textId="77777777" w:rsidR="00582B82" w:rsidRDefault="00582B82" w:rsidP="00E0560F">
            <w:pPr>
              <w:spacing w:after="160" w:line="259" w:lineRule="auto"/>
              <w:ind w:left="0" w:firstLine="0"/>
              <w:jc w:val="left"/>
            </w:pPr>
            <w:r>
              <w:t xml:space="preserve">FITZROVIA WEST NEIGHBOURHOOD PLAN </w:t>
            </w:r>
          </w:p>
          <w:p w14:paraId="6C67770E" w14:textId="77777777" w:rsidR="003C5B31" w:rsidRDefault="00582B82" w:rsidP="00E0560F">
            <w:pPr>
              <w:spacing w:after="160" w:line="259" w:lineRule="auto"/>
              <w:ind w:left="0" w:firstLine="0"/>
              <w:jc w:val="left"/>
              <w:rPr>
                <w:b/>
                <w:i/>
              </w:rPr>
            </w:pPr>
            <w:r>
              <w:t>2020 to 20</w:t>
            </w:r>
            <w:r>
              <w:rPr>
                <w:strike/>
              </w:rPr>
              <w:t>35</w:t>
            </w:r>
            <w:r>
              <w:t xml:space="preserve"> </w:t>
            </w:r>
            <w:r>
              <w:rPr>
                <w:b/>
                <w:i/>
              </w:rPr>
              <w:t>40</w:t>
            </w:r>
          </w:p>
          <w:p w14:paraId="584F43CE" w14:textId="77777777" w:rsidR="00582B82" w:rsidRDefault="00582B82" w:rsidP="00E0560F">
            <w:pPr>
              <w:spacing w:after="160" w:line="259" w:lineRule="auto"/>
              <w:ind w:left="0" w:firstLine="0"/>
              <w:jc w:val="left"/>
            </w:pPr>
            <w:r>
              <w:t>Paragraph 1.2</w:t>
            </w:r>
          </w:p>
          <w:p w14:paraId="73E90914" w14:textId="0CD7A970" w:rsidR="00582B82" w:rsidRPr="00F35CE7" w:rsidRDefault="00582B82" w:rsidP="00E0560F">
            <w:pPr>
              <w:spacing w:after="160" w:line="259" w:lineRule="auto"/>
              <w:ind w:left="0" w:firstLine="0"/>
              <w:jc w:val="left"/>
              <w:rPr>
                <w:bCs/>
                <w:i/>
              </w:rPr>
            </w:pPr>
            <w:r>
              <w:t xml:space="preserve">Last line - ...change over the </w:t>
            </w:r>
            <w:r w:rsidR="00F35CE7">
              <w:t>P</w:t>
            </w:r>
            <w:r>
              <w:t>lan period 2020 to 20</w:t>
            </w:r>
            <w:r>
              <w:rPr>
                <w:strike/>
              </w:rPr>
              <w:t>35</w:t>
            </w:r>
            <w:r>
              <w:t xml:space="preserve"> </w:t>
            </w:r>
            <w:r>
              <w:rPr>
                <w:b/>
                <w:i/>
              </w:rPr>
              <w:t>40</w:t>
            </w:r>
            <w:r w:rsidR="00F35CE7">
              <w:rPr>
                <w:bCs/>
                <w:i/>
              </w:rPr>
              <w:t>.</w:t>
            </w:r>
          </w:p>
        </w:tc>
      </w:tr>
      <w:tr w:rsidR="00297696" w14:paraId="0BAA24CF" w14:textId="77777777" w:rsidTr="003C5B31">
        <w:tc>
          <w:tcPr>
            <w:tcW w:w="0" w:type="auto"/>
          </w:tcPr>
          <w:p w14:paraId="13432E7B" w14:textId="77777777" w:rsidR="003C5B31" w:rsidRDefault="003C5B31" w:rsidP="00D249AC">
            <w:pPr>
              <w:spacing w:after="160" w:line="259" w:lineRule="auto"/>
              <w:ind w:left="0" w:firstLine="0"/>
              <w:jc w:val="left"/>
            </w:pPr>
            <w:r>
              <w:t>PM2</w:t>
            </w:r>
          </w:p>
        </w:tc>
        <w:tc>
          <w:tcPr>
            <w:tcW w:w="0" w:type="auto"/>
          </w:tcPr>
          <w:p w14:paraId="135ADFE1" w14:textId="77777777" w:rsidR="003C5B31" w:rsidRDefault="003C5B31" w:rsidP="00582B82">
            <w:pPr>
              <w:spacing w:after="160" w:line="259" w:lineRule="auto"/>
              <w:ind w:left="0" w:firstLine="0"/>
              <w:jc w:val="left"/>
            </w:pPr>
            <w:r>
              <w:t xml:space="preserve">Page </w:t>
            </w:r>
            <w:r w:rsidR="00582B82">
              <w:t>10</w:t>
            </w:r>
          </w:p>
        </w:tc>
        <w:tc>
          <w:tcPr>
            <w:tcW w:w="0" w:type="auto"/>
          </w:tcPr>
          <w:p w14:paraId="204B8140" w14:textId="5B9E211D" w:rsidR="002061AE" w:rsidRDefault="00582B82" w:rsidP="00D0113C">
            <w:pPr>
              <w:spacing w:after="160" w:line="259" w:lineRule="auto"/>
              <w:ind w:left="32" w:hanging="32"/>
              <w:jc w:val="left"/>
            </w:pPr>
            <w:r>
              <w:t>Modify paragraph 3.1 as in the SOCG</w:t>
            </w:r>
            <w:r w:rsidR="004029BA">
              <w:t xml:space="preserve">. </w:t>
            </w:r>
            <w:r>
              <w:t xml:space="preserve"> </w:t>
            </w:r>
          </w:p>
        </w:tc>
      </w:tr>
      <w:tr w:rsidR="00297696" w14:paraId="5DF9C428" w14:textId="77777777" w:rsidTr="003C5B31">
        <w:tc>
          <w:tcPr>
            <w:tcW w:w="0" w:type="auto"/>
          </w:tcPr>
          <w:p w14:paraId="1952C14A" w14:textId="77777777" w:rsidR="003C5B31" w:rsidRDefault="003C5B31" w:rsidP="00D249AC">
            <w:pPr>
              <w:spacing w:after="160" w:line="259" w:lineRule="auto"/>
              <w:ind w:left="0" w:firstLine="0"/>
              <w:jc w:val="left"/>
            </w:pPr>
            <w:r>
              <w:t>PM3</w:t>
            </w:r>
          </w:p>
        </w:tc>
        <w:tc>
          <w:tcPr>
            <w:tcW w:w="0" w:type="auto"/>
          </w:tcPr>
          <w:p w14:paraId="16CDEE2E" w14:textId="77777777" w:rsidR="003C5B31" w:rsidRDefault="003C5B31" w:rsidP="00D249AC">
            <w:pPr>
              <w:spacing w:after="160" w:line="259" w:lineRule="auto"/>
              <w:ind w:left="0" w:firstLine="0"/>
              <w:jc w:val="left"/>
            </w:pPr>
            <w:r>
              <w:t>Page</w:t>
            </w:r>
            <w:r w:rsidR="002061AE">
              <w:t>s 10/11</w:t>
            </w:r>
          </w:p>
        </w:tc>
        <w:tc>
          <w:tcPr>
            <w:tcW w:w="0" w:type="auto"/>
          </w:tcPr>
          <w:p w14:paraId="75371A52" w14:textId="5B3A87C7" w:rsidR="003C5B31" w:rsidRPr="002061AE" w:rsidRDefault="002061AE" w:rsidP="00F31F0E">
            <w:pPr>
              <w:spacing w:after="160" w:line="259" w:lineRule="auto"/>
              <w:ind w:left="0" w:firstLine="0"/>
              <w:jc w:val="left"/>
            </w:pPr>
            <w:r w:rsidRPr="002061AE">
              <w:t xml:space="preserve">Add a new paragraph 3.5 </w:t>
            </w:r>
            <w:r>
              <w:t>as written in the SOCG</w:t>
            </w:r>
            <w:r w:rsidR="007005C7">
              <w:t>.</w:t>
            </w:r>
          </w:p>
        </w:tc>
      </w:tr>
      <w:tr w:rsidR="00297696" w14:paraId="6A1B6180" w14:textId="77777777" w:rsidTr="003C5B31">
        <w:tc>
          <w:tcPr>
            <w:tcW w:w="0" w:type="auto"/>
          </w:tcPr>
          <w:p w14:paraId="51E722D9" w14:textId="77777777" w:rsidR="003C5B31" w:rsidRDefault="002061AE" w:rsidP="00D249AC">
            <w:pPr>
              <w:spacing w:after="160" w:line="259" w:lineRule="auto"/>
              <w:ind w:left="0" w:firstLine="0"/>
              <w:jc w:val="left"/>
            </w:pPr>
            <w:r>
              <w:t>PM4</w:t>
            </w:r>
          </w:p>
        </w:tc>
        <w:tc>
          <w:tcPr>
            <w:tcW w:w="0" w:type="auto"/>
          </w:tcPr>
          <w:p w14:paraId="2B30C363" w14:textId="77777777" w:rsidR="003C5B31" w:rsidRDefault="002061AE" w:rsidP="00D249AC">
            <w:pPr>
              <w:spacing w:after="160" w:line="259" w:lineRule="auto"/>
              <w:ind w:left="0" w:firstLine="0"/>
              <w:jc w:val="left"/>
            </w:pPr>
            <w:r>
              <w:t>Pages 17/18</w:t>
            </w:r>
          </w:p>
          <w:p w14:paraId="08C47DAB" w14:textId="77777777" w:rsidR="0016357E" w:rsidRDefault="0016357E" w:rsidP="00D249AC">
            <w:pPr>
              <w:spacing w:after="160" w:line="259" w:lineRule="auto"/>
              <w:ind w:left="0" w:firstLine="0"/>
              <w:jc w:val="left"/>
            </w:pPr>
          </w:p>
          <w:p w14:paraId="7515AE48" w14:textId="77777777" w:rsidR="0016357E" w:rsidRDefault="0016357E" w:rsidP="00D249AC">
            <w:pPr>
              <w:spacing w:after="160" w:line="259" w:lineRule="auto"/>
              <w:ind w:left="0" w:firstLine="0"/>
              <w:jc w:val="left"/>
            </w:pPr>
          </w:p>
          <w:p w14:paraId="5BCC03F4" w14:textId="77777777" w:rsidR="0016357E" w:rsidRDefault="0016357E" w:rsidP="00D249AC">
            <w:pPr>
              <w:spacing w:after="160" w:line="259" w:lineRule="auto"/>
              <w:ind w:left="0" w:firstLine="0"/>
              <w:jc w:val="left"/>
            </w:pPr>
          </w:p>
          <w:p w14:paraId="3CC094F6" w14:textId="77777777" w:rsidR="0016357E" w:rsidRDefault="0016357E" w:rsidP="004C46DE">
            <w:pPr>
              <w:spacing w:after="140" w:line="259" w:lineRule="auto"/>
              <w:ind w:left="0" w:firstLine="0"/>
              <w:jc w:val="left"/>
            </w:pPr>
          </w:p>
          <w:p w14:paraId="431F7BBB" w14:textId="3D368426" w:rsidR="0016357E" w:rsidRDefault="004029BA" w:rsidP="00D249AC">
            <w:pPr>
              <w:spacing w:after="160" w:line="259" w:lineRule="auto"/>
              <w:ind w:left="0" w:firstLine="0"/>
              <w:jc w:val="left"/>
            </w:pPr>
            <w:r>
              <w:t xml:space="preserve">Page </w:t>
            </w:r>
            <w:r w:rsidR="0016357E">
              <w:t>58</w:t>
            </w:r>
          </w:p>
        </w:tc>
        <w:tc>
          <w:tcPr>
            <w:tcW w:w="0" w:type="auto"/>
          </w:tcPr>
          <w:p w14:paraId="29DA9106" w14:textId="7FEF2244" w:rsidR="003C5B31" w:rsidRDefault="00A716AD" w:rsidP="00E0560F">
            <w:pPr>
              <w:spacing w:after="160" w:line="259" w:lineRule="auto"/>
              <w:jc w:val="left"/>
            </w:pPr>
            <w:r>
              <w:t>Policy PR1</w:t>
            </w:r>
            <w:r w:rsidR="00426481">
              <w:t>:</w:t>
            </w:r>
            <w:r>
              <w:t xml:space="preserve"> Promoting Regeneration</w:t>
            </w:r>
          </w:p>
          <w:p w14:paraId="40FA4FB9" w14:textId="77777777" w:rsidR="00A716AD" w:rsidRDefault="00A716AD" w:rsidP="00F31F0E">
            <w:pPr>
              <w:spacing w:after="160" w:line="259" w:lineRule="auto"/>
              <w:ind w:left="0" w:firstLine="0"/>
              <w:jc w:val="left"/>
            </w:pPr>
            <w:r>
              <w:t>Modify as written in the SOCG, and add the following:</w:t>
            </w:r>
          </w:p>
          <w:p w14:paraId="5DD13D0E" w14:textId="77777777" w:rsidR="00A716AD" w:rsidRDefault="00A716AD" w:rsidP="00F31F0E">
            <w:pPr>
              <w:spacing w:after="160" w:line="259" w:lineRule="auto"/>
              <w:ind w:left="0" w:firstLine="0"/>
              <w:jc w:val="left"/>
            </w:pPr>
            <w:r>
              <w:t>5. VII Developments should achieve .....not increasing the heat island effect</w:t>
            </w:r>
            <w:r>
              <w:rPr>
                <w:b/>
                <w:i/>
              </w:rPr>
              <w:t>, or worsening air quality</w:t>
            </w:r>
            <w:r>
              <w:t xml:space="preserve"> and keeping energy use ........</w:t>
            </w:r>
          </w:p>
          <w:p w14:paraId="3F201B8D" w14:textId="77777777" w:rsidR="0016357E" w:rsidRDefault="0016357E" w:rsidP="00E0560F">
            <w:pPr>
              <w:spacing w:after="160" w:line="259" w:lineRule="auto"/>
              <w:jc w:val="left"/>
            </w:pPr>
            <w:r>
              <w:t>Appendix 6: Glossary</w:t>
            </w:r>
          </w:p>
          <w:p w14:paraId="4DCDC56A" w14:textId="7766DF0E" w:rsidR="0016357E" w:rsidRPr="00A716AD" w:rsidRDefault="0016357E" w:rsidP="00F31F0E">
            <w:pPr>
              <w:spacing w:after="160" w:line="259" w:lineRule="auto"/>
              <w:ind w:left="0" w:firstLine="0"/>
              <w:jc w:val="left"/>
            </w:pPr>
            <w:r>
              <w:t>Delete ‘Tall Buildings’ definition and replace with the wording in the SOCG</w:t>
            </w:r>
            <w:r w:rsidR="00D61817">
              <w:t>.</w:t>
            </w:r>
          </w:p>
        </w:tc>
      </w:tr>
      <w:tr w:rsidR="002061AE" w14:paraId="2760CF7D" w14:textId="77777777" w:rsidTr="003C5B31">
        <w:tc>
          <w:tcPr>
            <w:tcW w:w="0" w:type="auto"/>
          </w:tcPr>
          <w:p w14:paraId="37785E37" w14:textId="77777777" w:rsidR="002061AE" w:rsidRDefault="0016357E" w:rsidP="00D249AC">
            <w:pPr>
              <w:spacing w:after="160" w:line="259" w:lineRule="auto"/>
              <w:ind w:left="0" w:firstLine="0"/>
              <w:jc w:val="left"/>
            </w:pPr>
            <w:r>
              <w:t>PM5</w:t>
            </w:r>
          </w:p>
        </w:tc>
        <w:tc>
          <w:tcPr>
            <w:tcW w:w="0" w:type="auto"/>
          </w:tcPr>
          <w:p w14:paraId="1FC34158" w14:textId="1FF7B91E" w:rsidR="002061AE" w:rsidRDefault="009323EE" w:rsidP="00D249AC">
            <w:pPr>
              <w:spacing w:after="160" w:line="259" w:lineRule="auto"/>
              <w:ind w:left="0" w:firstLine="0"/>
              <w:jc w:val="left"/>
            </w:pPr>
            <w:r>
              <w:t xml:space="preserve">Pages </w:t>
            </w:r>
            <w:r w:rsidR="0016357E">
              <w:t>20/21</w:t>
            </w:r>
            <w:r w:rsidR="00980071">
              <w:t xml:space="preserve"> </w:t>
            </w:r>
            <w:r w:rsidR="001014F5">
              <w:t>&amp; 24</w:t>
            </w:r>
          </w:p>
        </w:tc>
        <w:tc>
          <w:tcPr>
            <w:tcW w:w="0" w:type="auto"/>
          </w:tcPr>
          <w:p w14:paraId="20AE8CE3" w14:textId="291AC599" w:rsidR="002061AE" w:rsidRDefault="0016357E" w:rsidP="0016357E">
            <w:pPr>
              <w:spacing w:after="160" w:line="259" w:lineRule="auto"/>
              <w:jc w:val="left"/>
            </w:pPr>
            <w:r>
              <w:t>Policy PR2</w:t>
            </w:r>
            <w:r w:rsidR="004F13B8">
              <w:t>:</w:t>
            </w:r>
            <w:r>
              <w:t xml:space="preserve"> Housing Provision</w:t>
            </w:r>
          </w:p>
          <w:p w14:paraId="635F919E" w14:textId="3FB7D923" w:rsidR="0016357E" w:rsidRDefault="0016357E" w:rsidP="0033368D">
            <w:pPr>
              <w:spacing w:after="160" w:line="259" w:lineRule="auto"/>
              <w:ind w:left="0" w:firstLine="0"/>
              <w:jc w:val="left"/>
            </w:pPr>
            <w:r>
              <w:t>Modify as written in the SOCG but exclude clause VI (as highlighted in yellow)</w:t>
            </w:r>
            <w:r w:rsidR="001014F5">
              <w:t>.</w:t>
            </w:r>
          </w:p>
          <w:p w14:paraId="64623A3B" w14:textId="77777777" w:rsidR="001014F5" w:rsidRDefault="001014F5" w:rsidP="0033368D">
            <w:pPr>
              <w:spacing w:after="160" w:line="259" w:lineRule="auto"/>
              <w:ind w:left="32" w:hanging="32"/>
              <w:jc w:val="left"/>
            </w:pPr>
            <w:r>
              <w:t>Delete paragraph 5.21 from the ‘Justification’ text.</w:t>
            </w:r>
          </w:p>
        </w:tc>
      </w:tr>
      <w:tr w:rsidR="002061AE" w14:paraId="186A36E5" w14:textId="77777777" w:rsidTr="003C5B31">
        <w:tc>
          <w:tcPr>
            <w:tcW w:w="0" w:type="auto"/>
          </w:tcPr>
          <w:p w14:paraId="4804B105" w14:textId="77777777" w:rsidR="002061AE" w:rsidRDefault="00634BD2" w:rsidP="00D249AC">
            <w:pPr>
              <w:spacing w:after="160" w:line="259" w:lineRule="auto"/>
              <w:ind w:left="0" w:firstLine="0"/>
              <w:jc w:val="left"/>
            </w:pPr>
            <w:r>
              <w:t>PM6</w:t>
            </w:r>
          </w:p>
        </w:tc>
        <w:tc>
          <w:tcPr>
            <w:tcW w:w="0" w:type="auto"/>
          </w:tcPr>
          <w:p w14:paraId="7707F903" w14:textId="77777777" w:rsidR="002061AE" w:rsidRDefault="009323EE" w:rsidP="00D249AC">
            <w:pPr>
              <w:spacing w:after="160" w:line="259" w:lineRule="auto"/>
              <w:ind w:left="0" w:firstLine="0"/>
              <w:jc w:val="left"/>
            </w:pPr>
            <w:r>
              <w:t xml:space="preserve">Pages </w:t>
            </w:r>
            <w:r w:rsidR="00634BD2">
              <w:t>24/25</w:t>
            </w:r>
            <w:r w:rsidR="00E16962">
              <w:t xml:space="preserve"> &amp; 27</w:t>
            </w:r>
          </w:p>
        </w:tc>
        <w:tc>
          <w:tcPr>
            <w:tcW w:w="0" w:type="auto"/>
          </w:tcPr>
          <w:p w14:paraId="07E8CD06" w14:textId="77777777" w:rsidR="00634BD2" w:rsidRDefault="00634BD2" w:rsidP="00BE623D">
            <w:pPr>
              <w:spacing w:after="160" w:line="259" w:lineRule="auto"/>
              <w:ind w:left="0" w:firstLine="0"/>
              <w:jc w:val="left"/>
            </w:pPr>
            <w:r>
              <w:t xml:space="preserve">Policy PR3: Tourism, Arts, Culture and Entertainment Uses </w:t>
            </w:r>
          </w:p>
          <w:p w14:paraId="090E0612" w14:textId="77777777" w:rsidR="00634BD2" w:rsidRDefault="00634BD2" w:rsidP="00634BD2">
            <w:pPr>
              <w:spacing w:after="160" w:line="259" w:lineRule="auto"/>
              <w:jc w:val="left"/>
            </w:pPr>
            <w:r>
              <w:lastRenderedPageBreak/>
              <w:t>Modify as written in the SOCG.</w:t>
            </w:r>
          </w:p>
          <w:p w14:paraId="7A0B9E6D" w14:textId="77777777" w:rsidR="00E16962" w:rsidRDefault="00E16962" w:rsidP="00634BD2">
            <w:pPr>
              <w:spacing w:after="160" w:line="259" w:lineRule="auto"/>
              <w:jc w:val="left"/>
            </w:pPr>
            <w:r>
              <w:t xml:space="preserve">Modify paragraph </w:t>
            </w:r>
            <w:r w:rsidR="009448C3">
              <w:t>5.26:</w:t>
            </w:r>
          </w:p>
          <w:p w14:paraId="2AC9BD26" w14:textId="2742623C" w:rsidR="009448C3" w:rsidRPr="009448C3" w:rsidRDefault="009448C3" w:rsidP="0033368D">
            <w:pPr>
              <w:spacing w:after="160" w:line="259" w:lineRule="auto"/>
              <w:ind w:left="0" w:firstLine="0"/>
              <w:jc w:val="left"/>
            </w:pPr>
            <w:r>
              <w:t xml:space="preserve">Residents are particularly ... through a legal agreement, where appropriate. </w:t>
            </w:r>
            <w:r>
              <w:rPr>
                <w:b/>
                <w:i/>
              </w:rPr>
              <w:t xml:space="preserve">Development proposals should have regard </w:t>
            </w:r>
            <w:r w:rsidR="00C4535F">
              <w:rPr>
                <w:b/>
                <w:i/>
              </w:rPr>
              <w:t xml:space="preserve">to </w:t>
            </w:r>
            <w:r>
              <w:rPr>
                <w:b/>
                <w:i/>
              </w:rPr>
              <w:t xml:space="preserve">their effect on pedestrian flows, and avoid the </w:t>
            </w:r>
            <w:r w:rsidR="00A0425E">
              <w:rPr>
                <w:b/>
                <w:i/>
              </w:rPr>
              <w:t>need for</w:t>
            </w:r>
            <w:r>
              <w:rPr>
                <w:b/>
                <w:i/>
              </w:rPr>
              <w:t xml:space="preserve"> ‘A’ boards where narrow pavements prevail.  </w:t>
            </w:r>
            <w:r>
              <w:t>Local community functions ....</w:t>
            </w:r>
          </w:p>
        </w:tc>
      </w:tr>
      <w:tr w:rsidR="002061AE" w14:paraId="1F79B4F4" w14:textId="77777777" w:rsidTr="003C5B31">
        <w:tc>
          <w:tcPr>
            <w:tcW w:w="0" w:type="auto"/>
          </w:tcPr>
          <w:p w14:paraId="3DC8ABBC" w14:textId="77777777" w:rsidR="002061AE" w:rsidRDefault="00634BD2" w:rsidP="00D249AC">
            <w:pPr>
              <w:spacing w:after="160" w:line="259" w:lineRule="auto"/>
              <w:ind w:left="0" w:firstLine="0"/>
              <w:jc w:val="left"/>
            </w:pPr>
            <w:r>
              <w:lastRenderedPageBreak/>
              <w:t>PM7</w:t>
            </w:r>
          </w:p>
        </w:tc>
        <w:tc>
          <w:tcPr>
            <w:tcW w:w="0" w:type="auto"/>
          </w:tcPr>
          <w:p w14:paraId="56711C25" w14:textId="77777777" w:rsidR="002061AE" w:rsidRDefault="009323EE" w:rsidP="00D249AC">
            <w:pPr>
              <w:spacing w:after="160" w:line="259" w:lineRule="auto"/>
              <w:ind w:left="0" w:firstLine="0"/>
              <w:jc w:val="left"/>
            </w:pPr>
            <w:r>
              <w:t xml:space="preserve">Pages </w:t>
            </w:r>
            <w:r w:rsidR="00634BD2">
              <w:t>27/28</w:t>
            </w:r>
          </w:p>
        </w:tc>
        <w:tc>
          <w:tcPr>
            <w:tcW w:w="0" w:type="auto"/>
          </w:tcPr>
          <w:p w14:paraId="4C5190E8" w14:textId="77777777" w:rsidR="00634BD2" w:rsidRDefault="00634BD2" w:rsidP="0033368D">
            <w:pPr>
              <w:spacing w:after="160" w:line="259" w:lineRule="auto"/>
              <w:ind w:left="0" w:firstLine="0"/>
              <w:jc w:val="left"/>
            </w:pPr>
            <w:r>
              <w:t>Policy PR4: Retaining and Expanding Community Facilities</w:t>
            </w:r>
          </w:p>
          <w:p w14:paraId="7030E979" w14:textId="77777777" w:rsidR="002061AE" w:rsidRDefault="00634BD2" w:rsidP="0033368D">
            <w:pPr>
              <w:spacing w:after="160" w:line="259" w:lineRule="auto"/>
              <w:ind w:left="-110" w:hanging="32"/>
              <w:jc w:val="left"/>
            </w:pPr>
            <w:r>
              <w:t xml:space="preserve">  Modify as written in the SOCG.</w:t>
            </w:r>
          </w:p>
        </w:tc>
      </w:tr>
      <w:tr w:rsidR="002061AE" w14:paraId="7D27EFB1" w14:textId="77777777" w:rsidTr="003C5B31">
        <w:tc>
          <w:tcPr>
            <w:tcW w:w="0" w:type="auto"/>
          </w:tcPr>
          <w:p w14:paraId="1B1FC0FF" w14:textId="77777777" w:rsidR="002061AE" w:rsidRDefault="00634BD2" w:rsidP="00D249AC">
            <w:pPr>
              <w:spacing w:after="160" w:line="259" w:lineRule="auto"/>
              <w:ind w:left="0" w:firstLine="0"/>
              <w:jc w:val="left"/>
            </w:pPr>
            <w:r>
              <w:t>PM8</w:t>
            </w:r>
          </w:p>
        </w:tc>
        <w:tc>
          <w:tcPr>
            <w:tcW w:w="0" w:type="auto"/>
          </w:tcPr>
          <w:p w14:paraId="2C3BADA3" w14:textId="77777777" w:rsidR="002061AE" w:rsidRDefault="009323EE" w:rsidP="00D249AC">
            <w:pPr>
              <w:spacing w:after="160" w:line="259" w:lineRule="auto"/>
              <w:ind w:left="0" w:firstLine="0"/>
              <w:jc w:val="left"/>
            </w:pPr>
            <w:r>
              <w:t xml:space="preserve">Pages </w:t>
            </w:r>
            <w:r w:rsidR="00634BD2">
              <w:t>29/30</w:t>
            </w:r>
          </w:p>
        </w:tc>
        <w:tc>
          <w:tcPr>
            <w:tcW w:w="0" w:type="auto"/>
          </w:tcPr>
          <w:p w14:paraId="08810622" w14:textId="77777777" w:rsidR="002061AE" w:rsidRDefault="00634BD2" w:rsidP="0033368D">
            <w:pPr>
              <w:spacing w:after="160" w:line="259" w:lineRule="auto"/>
              <w:ind w:left="0" w:firstLine="25"/>
              <w:jc w:val="left"/>
            </w:pPr>
            <w:r>
              <w:t>6 Supporting Business Uses and Development</w:t>
            </w:r>
          </w:p>
          <w:p w14:paraId="58D4F781" w14:textId="77777777" w:rsidR="00634BD2" w:rsidRDefault="00634BD2" w:rsidP="00B0073E">
            <w:pPr>
              <w:spacing w:after="160" w:line="259" w:lineRule="auto"/>
              <w:ind w:left="0" w:firstLine="0"/>
              <w:jc w:val="left"/>
            </w:pPr>
            <w:r>
              <w:t>Modify Objective 4.4.1 and paragraphs 6.1 to 6.5 as written in the SOCG.</w:t>
            </w:r>
          </w:p>
        </w:tc>
      </w:tr>
      <w:tr w:rsidR="002061AE" w14:paraId="3FFCF0BC" w14:textId="77777777" w:rsidTr="003C5B31">
        <w:tc>
          <w:tcPr>
            <w:tcW w:w="0" w:type="auto"/>
          </w:tcPr>
          <w:p w14:paraId="002365B8" w14:textId="77777777" w:rsidR="002061AE" w:rsidRDefault="009323EE" w:rsidP="00D249AC">
            <w:pPr>
              <w:spacing w:after="160" w:line="259" w:lineRule="auto"/>
              <w:ind w:left="0" w:firstLine="0"/>
              <w:jc w:val="left"/>
            </w:pPr>
            <w:r>
              <w:t>PM9</w:t>
            </w:r>
          </w:p>
        </w:tc>
        <w:tc>
          <w:tcPr>
            <w:tcW w:w="0" w:type="auto"/>
          </w:tcPr>
          <w:p w14:paraId="6902069A" w14:textId="77777777" w:rsidR="002061AE" w:rsidRDefault="009323EE" w:rsidP="00D249AC">
            <w:pPr>
              <w:spacing w:after="160" w:line="259" w:lineRule="auto"/>
              <w:ind w:left="0" w:firstLine="0"/>
              <w:jc w:val="left"/>
            </w:pPr>
            <w:r>
              <w:t>Page 30</w:t>
            </w:r>
          </w:p>
        </w:tc>
        <w:tc>
          <w:tcPr>
            <w:tcW w:w="0" w:type="auto"/>
          </w:tcPr>
          <w:p w14:paraId="0DC43C15" w14:textId="77777777" w:rsidR="002061AE" w:rsidRDefault="009323EE" w:rsidP="00E0560F">
            <w:pPr>
              <w:spacing w:after="160" w:line="259" w:lineRule="auto"/>
              <w:jc w:val="left"/>
            </w:pPr>
            <w:r>
              <w:t xml:space="preserve">Policy B1: Small Business Units </w:t>
            </w:r>
          </w:p>
          <w:p w14:paraId="3C41B657" w14:textId="77777777" w:rsidR="009323EE" w:rsidRDefault="009323EE" w:rsidP="00E0560F">
            <w:pPr>
              <w:spacing w:after="160" w:line="259" w:lineRule="auto"/>
              <w:jc w:val="left"/>
            </w:pPr>
            <w:r>
              <w:t>Modify as written in the SOCG.</w:t>
            </w:r>
          </w:p>
        </w:tc>
      </w:tr>
      <w:tr w:rsidR="002061AE" w14:paraId="7E5E6797" w14:textId="77777777" w:rsidTr="003C5B31">
        <w:tc>
          <w:tcPr>
            <w:tcW w:w="0" w:type="auto"/>
          </w:tcPr>
          <w:p w14:paraId="65AC40EC" w14:textId="77777777" w:rsidR="002061AE" w:rsidRDefault="009323EE" w:rsidP="00D249AC">
            <w:pPr>
              <w:spacing w:after="160" w:line="259" w:lineRule="auto"/>
              <w:ind w:left="0" w:firstLine="0"/>
              <w:jc w:val="left"/>
            </w:pPr>
            <w:r>
              <w:t>PM10</w:t>
            </w:r>
          </w:p>
        </w:tc>
        <w:tc>
          <w:tcPr>
            <w:tcW w:w="0" w:type="auto"/>
          </w:tcPr>
          <w:p w14:paraId="1C439BC4" w14:textId="77777777" w:rsidR="002061AE" w:rsidRDefault="009323EE" w:rsidP="00D249AC">
            <w:pPr>
              <w:spacing w:after="160" w:line="259" w:lineRule="auto"/>
              <w:ind w:left="0" w:firstLine="0"/>
              <w:jc w:val="left"/>
            </w:pPr>
            <w:r>
              <w:t>Pages 31/32</w:t>
            </w:r>
          </w:p>
        </w:tc>
        <w:tc>
          <w:tcPr>
            <w:tcW w:w="0" w:type="auto"/>
          </w:tcPr>
          <w:p w14:paraId="68BB759C" w14:textId="77777777" w:rsidR="002061AE" w:rsidRPr="003A4B1B" w:rsidRDefault="009323EE" w:rsidP="0033368D">
            <w:pPr>
              <w:spacing w:after="160" w:line="259" w:lineRule="auto"/>
              <w:ind w:left="0" w:firstLine="0"/>
              <w:jc w:val="left"/>
              <w:rPr>
                <w:b/>
                <w:i/>
              </w:rPr>
            </w:pPr>
            <w:r>
              <w:t xml:space="preserve">Policy B2: </w:t>
            </w:r>
            <w:r w:rsidR="003A4B1B">
              <w:rPr>
                <w:strike/>
              </w:rPr>
              <w:t xml:space="preserve">Retail and Related Uses </w:t>
            </w:r>
            <w:r w:rsidR="003A4B1B">
              <w:rPr>
                <w:b/>
                <w:i/>
              </w:rPr>
              <w:t>Street Frontages</w:t>
            </w:r>
          </w:p>
          <w:p w14:paraId="7A9BBF7B" w14:textId="01ED655F" w:rsidR="009323EE" w:rsidRDefault="009323EE" w:rsidP="00B0073E">
            <w:pPr>
              <w:spacing w:after="160" w:line="259" w:lineRule="auto"/>
              <w:ind w:left="0" w:firstLine="0"/>
              <w:jc w:val="left"/>
            </w:pPr>
            <w:r>
              <w:t>Modify as written in the SOCG</w:t>
            </w:r>
            <w:r w:rsidR="003A4B1B">
              <w:t xml:space="preserve"> excluding clauses </w:t>
            </w:r>
            <w:r w:rsidR="00D61817">
              <w:t>I</w:t>
            </w:r>
            <w:r w:rsidR="003A4B1B">
              <w:t xml:space="preserve"> and V</w:t>
            </w:r>
            <w:r w:rsidR="00505F8F">
              <w:t>I</w:t>
            </w:r>
            <w:r w:rsidR="003A4B1B">
              <w:t xml:space="preserve"> (highlighted in yellow)</w:t>
            </w:r>
            <w:r>
              <w:t>.</w:t>
            </w:r>
          </w:p>
          <w:p w14:paraId="440DBB68" w14:textId="6F6D533F" w:rsidR="00512591" w:rsidRDefault="00512591" w:rsidP="0033368D">
            <w:pPr>
              <w:spacing w:after="160" w:line="259" w:lineRule="auto"/>
              <w:ind w:left="0" w:firstLine="0"/>
              <w:jc w:val="left"/>
            </w:pPr>
            <w:r>
              <w:t xml:space="preserve">Paragraphs 6.10 and 6.11 </w:t>
            </w:r>
            <w:r w:rsidR="008A7385">
              <w:t>m</w:t>
            </w:r>
            <w:r>
              <w:t>odify as written in the SOCG as paragraphs 6.9 &amp; 6.10, but delete the final sentence, shown highlighted in yellow, beginning “As air quality improves ....”.</w:t>
            </w:r>
          </w:p>
          <w:p w14:paraId="5DDB6A02" w14:textId="77777777" w:rsidR="009323EE" w:rsidRDefault="009323EE" w:rsidP="0033368D">
            <w:pPr>
              <w:spacing w:after="160" w:line="259" w:lineRule="auto"/>
              <w:ind w:left="0" w:firstLine="0"/>
              <w:jc w:val="left"/>
            </w:pPr>
            <w:r>
              <w:t xml:space="preserve">In addition, add 2 new sentences to the end of </w:t>
            </w:r>
            <w:r w:rsidR="00512591">
              <w:t>6.11</w:t>
            </w:r>
            <w:r>
              <w:t>:</w:t>
            </w:r>
          </w:p>
          <w:p w14:paraId="457EB7C7" w14:textId="77777777" w:rsidR="009323EE" w:rsidRDefault="009323EE" w:rsidP="0033368D">
            <w:pPr>
              <w:spacing w:after="160" w:line="259" w:lineRule="auto"/>
              <w:ind w:left="0" w:firstLine="0"/>
              <w:jc w:val="left"/>
            </w:pPr>
            <w:r>
              <w:t xml:space="preserve">The Oxford Street District Place Strategy and Delivery Plan was published by Westminster City Council in February 2019.  It aims to improve and enhance Oxford Street from Marble Arch to Tottenham Court Road as a place to live and work, whilst securing its position as a leading retail destination within London. </w:t>
            </w:r>
          </w:p>
          <w:p w14:paraId="295D1A19" w14:textId="64E155B5" w:rsidR="009323EE" w:rsidRDefault="009323EE" w:rsidP="0033368D">
            <w:pPr>
              <w:spacing w:after="160" w:line="259" w:lineRule="auto"/>
              <w:ind w:left="0" w:firstLine="0"/>
              <w:jc w:val="left"/>
            </w:pPr>
            <w:r>
              <w:lastRenderedPageBreak/>
              <w:t xml:space="preserve">Appendix 5 – Key Sources (cited and consulted) </w:t>
            </w:r>
            <w:r w:rsidR="008A7385">
              <w:t>i</w:t>
            </w:r>
            <w:r>
              <w:t>nsert:</w:t>
            </w:r>
          </w:p>
          <w:p w14:paraId="73BEEB86" w14:textId="09FC2E0B" w:rsidR="009323EE" w:rsidRDefault="009323EE" w:rsidP="0033368D">
            <w:pPr>
              <w:spacing w:after="160" w:line="259" w:lineRule="auto"/>
              <w:ind w:left="0" w:firstLine="0"/>
              <w:jc w:val="left"/>
            </w:pPr>
            <w:r>
              <w:t>City of Westminster, Oxford District Place Strategy and Delivery Plan February 2019</w:t>
            </w:r>
            <w:r w:rsidR="00103B38">
              <w:t>.</w:t>
            </w:r>
          </w:p>
        </w:tc>
      </w:tr>
      <w:tr w:rsidR="002061AE" w14:paraId="17DEAEC9" w14:textId="77777777" w:rsidTr="003C5B31">
        <w:tc>
          <w:tcPr>
            <w:tcW w:w="0" w:type="auto"/>
          </w:tcPr>
          <w:p w14:paraId="06B90C10" w14:textId="77777777" w:rsidR="002061AE" w:rsidRDefault="00255B87" w:rsidP="00D249AC">
            <w:pPr>
              <w:spacing w:after="160" w:line="259" w:lineRule="auto"/>
              <w:ind w:left="0" w:firstLine="0"/>
              <w:jc w:val="left"/>
            </w:pPr>
            <w:r>
              <w:lastRenderedPageBreak/>
              <w:t>PM11</w:t>
            </w:r>
          </w:p>
        </w:tc>
        <w:tc>
          <w:tcPr>
            <w:tcW w:w="0" w:type="auto"/>
          </w:tcPr>
          <w:p w14:paraId="04106D33" w14:textId="77777777" w:rsidR="002061AE" w:rsidRDefault="00255B87" w:rsidP="00D249AC">
            <w:pPr>
              <w:spacing w:after="160" w:line="259" w:lineRule="auto"/>
              <w:ind w:left="0" w:firstLine="0"/>
              <w:jc w:val="left"/>
            </w:pPr>
            <w:r>
              <w:t>Page</w:t>
            </w:r>
            <w:r w:rsidR="00F44215">
              <w:t>s 35-</w:t>
            </w:r>
            <w:r>
              <w:t xml:space="preserve"> 38</w:t>
            </w:r>
          </w:p>
        </w:tc>
        <w:tc>
          <w:tcPr>
            <w:tcW w:w="0" w:type="auto"/>
          </w:tcPr>
          <w:p w14:paraId="0539F787" w14:textId="77777777" w:rsidR="00F44215" w:rsidRDefault="00F44215" w:rsidP="0033368D">
            <w:pPr>
              <w:spacing w:after="160" w:line="259" w:lineRule="auto"/>
              <w:ind w:left="0" w:firstLine="0"/>
              <w:jc w:val="left"/>
            </w:pPr>
            <w:r>
              <w:t>Policy GS1: Protecting and Enhancing Existing Green and Open Space</w:t>
            </w:r>
          </w:p>
          <w:p w14:paraId="1BD999C9" w14:textId="77777777" w:rsidR="00F44215" w:rsidRDefault="00F44215" w:rsidP="00E0560F">
            <w:pPr>
              <w:spacing w:after="160" w:line="259" w:lineRule="auto"/>
              <w:jc w:val="left"/>
            </w:pPr>
            <w:r>
              <w:t>1. Development ......</w:t>
            </w:r>
          </w:p>
          <w:p w14:paraId="05ED8027" w14:textId="77777777" w:rsidR="00F44215" w:rsidRDefault="00F44215" w:rsidP="008A7385">
            <w:pPr>
              <w:spacing w:after="160" w:line="259" w:lineRule="auto"/>
              <w:ind w:left="0" w:firstLine="0"/>
              <w:jc w:val="left"/>
            </w:pPr>
            <w:r>
              <w:t xml:space="preserve">2. The following areas, </w:t>
            </w:r>
            <w:r>
              <w:rPr>
                <w:b/>
                <w:i/>
              </w:rPr>
              <w:t xml:space="preserve">shown on Figure 8, </w:t>
            </w:r>
            <w:r>
              <w:t>although not officially ....</w:t>
            </w:r>
          </w:p>
          <w:p w14:paraId="0359FA44" w14:textId="77777777" w:rsidR="00F44215" w:rsidRPr="00F44215" w:rsidRDefault="00F44215" w:rsidP="00F44215">
            <w:pPr>
              <w:pStyle w:val="ListParagraph"/>
              <w:numPr>
                <w:ilvl w:val="0"/>
                <w:numId w:val="14"/>
              </w:numPr>
              <w:spacing w:after="160" w:line="259" w:lineRule="auto"/>
              <w:jc w:val="left"/>
            </w:pPr>
            <w:r>
              <w:t xml:space="preserve">Triangle at NW corner ... </w:t>
            </w:r>
            <w:r>
              <w:rPr>
                <w:strike/>
              </w:rPr>
              <w:t>(see Figure 3) ....</w:t>
            </w:r>
          </w:p>
          <w:p w14:paraId="2DE2A89E" w14:textId="77777777" w:rsidR="002061AE" w:rsidRDefault="00255B87" w:rsidP="00B0073E">
            <w:pPr>
              <w:spacing w:after="160" w:line="259" w:lineRule="auto"/>
              <w:ind w:left="0" w:firstLine="0"/>
              <w:jc w:val="left"/>
            </w:pPr>
            <w:r>
              <w:t>Figure 8: Proposed Public Realm Priority Projects</w:t>
            </w:r>
          </w:p>
          <w:p w14:paraId="6B6B8BCA" w14:textId="77777777" w:rsidR="00255B87" w:rsidRDefault="00255B87" w:rsidP="0033368D">
            <w:pPr>
              <w:spacing w:after="160" w:line="259" w:lineRule="auto"/>
              <w:ind w:left="0" w:firstLine="0"/>
              <w:jc w:val="left"/>
            </w:pPr>
            <w:r>
              <w:t xml:space="preserve">Add the four </w:t>
            </w:r>
            <w:r w:rsidR="009B2D6A">
              <w:t>areas named in Policy GS1 clause 2 to the map.</w:t>
            </w:r>
          </w:p>
        </w:tc>
      </w:tr>
      <w:tr w:rsidR="002061AE" w14:paraId="37957F56" w14:textId="77777777" w:rsidTr="003C5B31">
        <w:tc>
          <w:tcPr>
            <w:tcW w:w="0" w:type="auto"/>
          </w:tcPr>
          <w:p w14:paraId="54E405CC" w14:textId="77777777" w:rsidR="002061AE" w:rsidRDefault="009B2D6A" w:rsidP="00D249AC">
            <w:pPr>
              <w:spacing w:after="160" w:line="259" w:lineRule="auto"/>
              <w:ind w:left="0" w:firstLine="0"/>
              <w:jc w:val="left"/>
            </w:pPr>
            <w:r>
              <w:t>PM12</w:t>
            </w:r>
          </w:p>
        </w:tc>
        <w:tc>
          <w:tcPr>
            <w:tcW w:w="0" w:type="auto"/>
          </w:tcPr>
          <w:p w14:paraId="4ABF4677" w14:textId="77777777" w:rsidR="002061AE" w:rsidRDefault="009B2D6A" w:rsidP="00D249AC">
            <w:pPr>
              <w:spacing w:after="160" w:line="259" w:lineRule="auto"/>
              <w:ind w:left="0" w:firstLine="0"/>
              <w:jc w:val="left"/>
            </w:pPr>
            <w:r>
              <w:t>Page 36</w:t>
            </w:r>
          </w:p>
        </w:tc>
        <w:tc>
          <w:tcPr>
            <w:tcW w:w="0" w:type="auto"/>
          </w:tcPr>
          <w:p w14:paraId="26FF1787" w14:textId="77777777" w:rsidR="002061AE" w:rsidRDefault="009B2D6A" w:rsidP="0033368D">
            <w:pPr>
              <w:spacing w:after="160" w:line="259" w:lineRule="auto"/>
              <w:ind w:left="0" w:firstLine="0"/>
              <w:jc w:val="left"/>
            </w:pPr>
            <w:r>
              <w:t>Policy GS2: Creating New Green and Open Spaces</w:t>
            </w:r>
          </w:p>
          <w:p w14:paraId="233656C8" w14:textId="77777777" w:rsidR="009B2D6A" w:rsidRDefault="009B2D6A" w:rsidP="00E0560F">
            <w:pPr>
              <w:spacing w:after="160" w:line="259" w:lineRule="auto"/>
              <w:jc w:val="left"/>
            </w:pPr>
            <w:r>
              <w:t>Modify as written in the SOCG.</w:t>
            </w:r>
          </w:p>
          <w:p w14:paraId="76AC0E18" w14:textId="77777777" w:rsidR="00F44215" w:rsidRDefault="00F44215" w:rsidP="00E0560F">
            <w:pPr>
              <w:spacing w:after="160" w:line="259" w:lineRule="auto"/>
              <w:jc w:val="left"/>
            </w:pPr>
            <w:r>
              <w:t>Add reference to</w:t>
            </w:r>
            <w:r w:rsidR="00366A9C">
              <w:t xml:space="preserve"> </w:t>
            </w:r>
            <w:r>
              <w:t>Strategic Policy Context:</w:t>
            </w:r>
          </w:p>
          <w:p w14:paraId="41A5ADF2" w14:textId="1CB19341" w:rsidR="00F44215" w:rsidRDefault="00F44215" w:rsidP="0033368D">
            <w:pPr>
              <w:spacing w:after="160" w:line="259" w:lineRule="auto"/>
              <w:ind w:left="0" w:firstLine="0"/>
              <w:jc w:val="left"/>
            </w:pPr>
            <w:r>
              <w:t xml:space="preserve">WCC Trees </w:t>
            </w:r>
            <w:r w:rsidR="00366A9C">
              <w:t>a</w:t>
            </w:r>
            <w:r>
              <w:t>n</w:t>
            </w:r>
            <w:r w:rsidR="00366A9C">
              <w:t>d the</w:t>
            </w:r>
            <w:r>
              <w:t xml:space="preserve"> Public Realm SPD</w:t>
            </w:r>
            <w:r w:rsidR="00366A9C">
              <w:t xml:space="preserve"> (2011)</w:t>
            </w:r>
            <w:r w:rsidR="007A12A6">
              <w:t>.</w:t>
            </w:r>
          </w:p>
          <w:p w14:paraId="0C0F073E" w14:textId="77777777" w:rsidR="009533D3" w:rsidRDefault="009533D3" w:rsidP="009533D3">
            <w:pPr>
              <w:spacing w:after="160" w:line="259" w:lineRule="auto"/>
              <w:jc w:val="left"/>
            </w:pPr>
            <w:r>
              <w:t>Modify paragraph 7.6 as in the SOCG.</w:t>
            </w:r>
          </w:p>
        </w:tc>
      </w:tr>
      <w:tr w:rsidR="002061AE" w14:paraId="4048A0EF" w14:textId="77777777" w:rsidTr="003C5B31">
        <w:tc>
          <w:tcPr>
            <w:tcW w:w="0" w:type="auto"/>
          </w:tcPr>
          <w:p w14:paraId="7D42C75A" w14:textId="77777777" w:rsidR="002061AE" w:rsidRDefault="009B2D6A" w:rsidP="00D249AC">
            <w:pPr>
              <w:spacing w:after="160" w:line="259" w:lineRule="auto"/>
              <w:ind w:left="0" w:firstLine="0"/>
              <w:jc w:val="left"/>
            </w:pPr>
            <w:r>
              <w:t>PM13</w:t>
            </w:r>
          </w:p>
        </w:tc>
        <w:tc>
          <w:tcPr>
            <w:tcW w:w="0" w:type="auto"/>
          </w:tcPr>
          <w:p w14:paraId="05E6C1FB" w14:textId="77777777" w:rsidR="002061AE" w:rsidRDefault="009B2D6A" w:rsidP="00D249AC">
            <w:pPr>
              <w:spacing w:after="160" w:line="259" w:lineRule="auto"/>
              <w:ind w:left="0" w:firstLine="0"/>
              <w:jc w:val="left"/>
            </w:pPr>
            <w:r>
              <w:t>Page 41</w:t>
            </w:r>
          </w:p>
        </w:tc>
        <w:tc>
          <w:tcPr>
            <w:tcW w:w="0" w:type="auto"/>
          </w:tcPr>
          <w:p w14:paraId="00AC7E73" w14:textId="77777777" w:rsidR="002061AE" w:rsidRDefault="009B2D6A" w:rsidP="00E0560F">
            <w:pPr>
              <w:spacing w:after="160" w:line="259" w:lineRule="auto"/>
              <w:jc w:val="left"/>
            </w:pPr>
            <w:r>
              <w:t>Paragraph 8.2</w:t>
            </w:r>
          </w:p>
          <w:p w14:paraId="747BA118" w14:textId="77777777" w:rsidR="009B2D6A" w:rsidRDefault="009B2D6A" w:rsidP="00E0560F">
            <w:pPr>
              <w:spacing w:after="160" w:line="259" w:lineRule="auto"/>
              <w:jc w:val="left"/>
            </w:pPr>
            <w:r>
              <w:t>Re-write the paragraph as follows:</w:t>
            </w:r>
          </w:p>
          <w:p w14:paraId="45E01313" w14:textId="77777777" w:rsidR="009B2D6A" w:rsidRDefault="009B2D6A" w:rsidP="00907841">
            <w:pPr>
              <w:spacing w:after="160" w:line="259" w:lineRule="auto"/>
              <w:ind w:left="0" w:firstLine="0"/>
              <w:jc w:val="left"/>
            </w:pPr>
            <w:r>
              <w:t xml:space="preserve">Oxides of nitrogen (NOx) and </w:t>
            </w:r>
            <w:r w:rsidR="00AA7921">
              <w:t xml:space="preserve">particulate matter (PM) are two major </w:t>
            </w:r>
            <w:r w:rsidR="00366A9C">
              <w:t xml:space="preserve">contributors to air </w:t>
            </w:r>
            <w:r w:rsidR="00AA7921">
              <w:t>pollut</w:t>
            </w:r>
            <w:r w:rsidR="00366A9C">
              <w:t>io</w:t>
            </w:r>
            <w:r w:rsidR="00AA7921">
              <w:t xml:space="preserve">n which stem from road traffic, domestic and commercial </w:t>
            </w:r>
            <w:r w:rsidR="00366A9C">
              <w:t>activities</w:t>
            </w:r>
            <w:r w:rsidR="00AA7921">
              <w:t>.  Figure 9 illustrates the sources of these two major pollutants</w:t>
            </w:r>
            <w:r w:rsidR="00F62907">
              <w:t xml:space="preserve"> (NOx and PM10) </w:t>
            </w:r>
            <w:r w:rsidR="00AA7921">
              <w:t>in Greater London in 2013.  The London Atmospheric Emissions Inventory (LAEI) estimated that the major sources of emissions of nitrogen dioxide (NO</w:t>
            </w:r>
            <w:r w:rsidR="00AA7921" w:rsidRPr="00A40535">
              <w:rPr>
                <w:vertAlign w:val="subscript"/>
              </w:rPr>
              <w:t>2</w:t>
            </w:r>
            <w:r w:rsidR="00AA7921">
              <w:t>) in the City of Westminster in 2013 were road transport at 57.9%</w:t>
            </w:r>
            <w:r w:rsidR="000253CF">
              <w:t>,</w:t>
            </w:r>
            <w:r w:rsidR="00AA7921">
              <w:t xml:space="preserve"> and domestic and commercial gas at 32.2%.  For fine particulate</w:t>
            </w:r>
            <w:r w:rsidR="00F62907">
              <w:t xml:space="preserve"> matter</w:t>
            </w:r>
            <w:r w:rsidR="00AA7921">
              <w:t xml:space="preserve"> (PM2.5)</w:t>
            </w:r>
            <w:r w:rsidR="00F62907">
              <w:t xml:space="preserve">, the figures </w:t>
            </w:r>
            <w:r w:rsidR="00F62907">
              <w:lastRenderedPageBreak/>
              <w:t>were 65.0% from road transport, 11.5% from domestic and commercial gas and 10.0% from non-road mobile machinery.  NO</w:t>
            </w:r>
            <w:r w:rsidR="00F62907" w:rsidRPr="00A40535">
              <w:rPr>
                <w:vertAlign w:val="subscript"/>
              </w:rPr>
              <w:t>2</w:t>
            </w:r>
            <w:r w:rsidR="00F62907">
              <w:t xml:space="preserve"> contributes to morbidity and mortality along with fine particles (PM2.5).  Public Health England estimates that 6.7% of deaths in the City of Westminster in 2015 were attributable to human made PM2.5.</w:t>
            </w:r>
          </w:p>
        </w:tc>
      </w:tr>
      <w:tr w:rsidR="002061AE" w14:paraId="726DF439" w14:textId="77777777" w:rsidTr="003C5B31">
        <w:tc>
          <w:tcPr>
            <w:tcW w:w="0" w:type="auto"/>
          </w:tcPr>
          <w:p w14:paraId="3D52D348" w14:textId="77777777" w:rsidR="002061AE" w:rsidRDefault="005E40A4" w:rsidP="00D249AC">
            <w:pPr>
              <w:spacing w:after="160" w:line="259" w:lineRule="auto"/>
              <w:ind w:left="0" w:firstLine="0"/>
              <w:jc w:val="left"/>
            </w:pPr>
            <w:r>
              <w:lastRenderedPageBreak/>
              <w:t>PM14</w:t>
            </w:r>
          </w:p>
        </w:tc>
        <w:tc>
          <w:tcPr>
            <w:tcW w:w="0" w:type="auto"/>
          </w:tcPr>
          <w:p w14:paraId="2D803E8F" w14:textId="77777777" w:rsidR="002061AE" w:rsidRDefault="005E40A4" w:rsidP="00D249AC">
            <w:pPr>
              <w:spacing w:after="160" w:line="259" w:lineRule="auto"/>
              <w:ind w:left="0" w:firstLine="0"/>
              <w:jc w:val="left"/>
            </w:pPr>
            <w:r>
              <w:t>Page 43</w:t>
            </w:r>
          </w:p>
          <w:p w14:paraId="2BECBFC7" w14:textId="77777777" w:rsidR="005E40A4" w:rsidRDefault="005E40A4" w:rsidP="00D249AC">
            <w:pPr>
              <w:spacing w:after="160" w:line="259" w:lineRule="auto"/>
              <w:ind w:left="0" w:firstLine="0"/>
              <w:jc w:val="left"/>
            </w:pPr>
          </w:p>
          <w:p w14:paraId="3486083D" w14:textId="77777777" w:rsidR="005E40A4" w:rsidRDefault="005E40A4" w:rsidP="00D249AC">
            <w:pPr>
              <w:spacing w:after="160" w:line="259" w:lineRule="auto"/>
              <w:ind w:left="0" w:firstLine="0"/>
              <w:jc w:val="left"/>
            </w:pPr>
          </w:p>
          <w:p w14:paraId="5F527AA0" w14:textId="30A70CB1" w:rsidR="005E40A4" w:rsidRDefault="007A12A6" w:rsidP="007A12A6">
            <w:pPr>
              <w:spacing w:before="300" w:after="160" w:line="259" w:lineRule="auto"/>
              <w:ind w:left="0" w:firstLine="0"/>
              <w:jc w:val="left"/>
            </w:pPr>
            <w:r>
              <w:t xml:space="preserve">Page </w:t>
            </w:r>
            <w:r w:rsidR="005E40A4">
              <w:t>58</w:t>
            </w:r>
          </w:p>
        </w:tc>
        <w:tc>
          <w:tcPr>
            <w:tcW w:w="0" w:type="auto"/>
          </w:tcPr>
          <w:p w14:paraId="7A37449B" w14:textId="77777777" w:rsidR="002061AE" w:rsidRDefault="005E40A4" w:rsidP="0033368D">
            <w:pPr>
              <w:spacing w:after="160" w:line="259" w:lineRule="auto"/>
              <w:ind w:left="0" w:firstLine="0"/>
              <w:jc w:val="left"/>
            </w:pPr>
            <w:r>
              <w:t>Policy EN1: Promoting Improved Environmental Sustainability and Air Quality</w:t>
            </w:r>
          </w:p>
          <w:p w14:paraId="354FF182" w14:textId="77777777" w:rsidR="005E40A4" w:rsidRDefault="005E40A4" w:rsidP="0033368D">
            <w:pPr>
              <w:spacing w:after="160" w:line="259" w:lineRule="auto"/>
              <w:ind w:left="0" w:firstLine="0"/>
              <w:jc w:val="left"/>
            </w:pPr>
            <w:r>
              <w:t>Modify as written in the SOCG (and as highlighted in yellow).</w:t>
            </w:r>
          </w:p>
          <w:p w14:paraId="56F0E42A" w14:textId="77777777" w:rsidR="005E40A4" w:rsidRDefault="005E40A4" w:rsidP="0033368D">
            <w:pPr>
              <w:spacing w:after="160" w:line="259" w:lineRule="auto"/>
              <w:ind w:left="0" w:firstLine="0"/>
              <w:jc w:val="left"/>
            </w:pPr>
            <w:r>
              <w:t>Add ‘Zero Emissions’ definition to the Glossary, as in the SOCG</w:t>
            </w:r>
          </w:p>
        </w:tc>
      </w:tr>
      <w:tr w:rsidR="002061AE" w14:paraId="47B3AA53" w14:textId="77777777" w:rsidTr="003C5B31">
        <w:tc>
          <w:tcPr>
            <w:tcW w:w="0" w:type="auto"/>
          </w:tcPr>
          <w:p w14:paraId="7F3F2E28" w14:textId="77777777" w:rsidR="002061AE" w:rsidRDefault="005E40A4" w:rsidP="00D249AC">
            <w:pPr>
              <w:spacing w:after="160" w:line="259" w:lineRule="auto"/>
              <w:ind w:left="0" w:firstLine="0"/>
              <w:jc w:val="left"/>
            </w:pPr>
            <w:r>
              <w:t>PM15</w:t>
            </w:r>
          </w:p>
        </w:tc>
        <w:tc>
          <w:tcPr>
            <w:tcW w:w="0" w:type="auto"/>
          </w:tcPr>
          <w:p w14:paraId="35DAB3AF" w14:textId="77777777" w:rsidR="002061AE" w:rsidRDefault="005E40A4" w:rsidP="00D249AC">
            <w:pPr>
              <w:spacing w:after="160" w:line="259" w:lineRule="auto"/>
              <w:ind w:left="0" w:firstLine="0"/>
              <w:jc w:val="left"/>
            </w:pPr>
            <w:r>
              <w:t>Page 43</w:t>
            </w:r>
          </w:p>
        </w:tc>
        <w:tc>
          <w:tcPr>
            <w:tcW w:w="0" w:type="auto"/>
          </w:tcPr>
          <w:p w14:paraId="222C23DB" w14:textId="77777777" w:rsidR="002061AE" w:rsidRDefault="005E40A4" w:rsidP="00E0560F">
            <w:pPr>
              <w:spacing w:after="160" w:line="259" w:lineRule="auto"/>
              <w:jc w:val="left"/>
            </w:pPr>
            <w:r>
              <w:t>Policy EN2: Renewable Energy</w:t>
            </w:r>
          </w:p>
          <w:p w14:paraId="126855E3" w14:textId="77777777" w:rsidR="005E40A4" w:rsidRDefault="005E40A4" w:rsidP="00E0560F">
            <w:pPr>
              <w:spacing w:after="160" w:line="259" w:lineRule="auto"/>
              <w:jc w:val="left"/>
            </w:pPr>
            <w:r>
              <w:t>Modify as written in the SOCG.</w:t>
            </w:r>
          </w:p>
        </w:tc>
      </w:tr>
      <w:tr w:rsidR="002061AE" w14:paraId="42EB68A6" w14:textId="77777777" w:rsidTr="003C5B31">
        <w:tc>
          <w:tcPr>
            <w:tcW w:w="0" w:type="auto"/>
          </w:tcPr>
          <w:p w14:paraId="529A0938" w14:textId="77777777" w:rsidR="002061AE" w:rsidRDefault="005E40A4" w:rsidP="00D249AC">
            <w:pPr>
              <w:spacing w:after="160" w:line="259" w:lineRule="auto"/>
              <w:ind w:left="0" w:firstLine="0"/>
              <w:jc w:val="left"/>
            </w:pPr>
            <w:r>
              <w:t>PM16</w:t>
            </w:r>
          </w:p>
        </w:tc>
        <w:tc>
          <w:tcPr>
            <w:tcW w:w="0" w:type="auto"/>
          </w:tcPr>
          <w:p w14:paraId="7A6085BA" w14:textId="77777777" w:rsidR="002061AE" w:rsidRDefault="005E40A4" w:rsidP="00D249AC">
            <w:pPr>
              <w:spacing w:after="160" w:line="259" w:lineRule="auto"/>
              <w:ind w:left="0" w:firstLine="0"/>
              <w:jc w:val="left"/>
            </w:pPr>
            <w:r>
              <w:t xml:space="preserve">Page </w:t>
            </w:r>
            <w:r w:rsidR="008A6611">
              <w:t>48</w:t>
            </w:r>
          </w:p>
        </w:tc>
        <w:tc>
          <w:tcPr>
            <w:tcW w:w="0" w:type="auto"/>
          </w:tcPr>
          <w:p w14:paraId="63F72F59" w14:textId="77777777" w:rsidR="00CF6396" w:rsidRDefault="00CF6396" w:rsidP="0033368D">
            <w:pPr>
              <w:spacing w:after="160" w:line="259" w:lineRule="auto"/>
              <w:ind w:left="0" w:firstLine="0"/>
              <w:jc w:val="left"/>
            </w:pPr>
            <w:r>
              <w:t>Strategic Policy Context (following Policies T1 &amp; T2):</w:t>
            </w:r>
          </w:p>
          <w:p w14:paraId="1CE05010" w14:textId="5273B6FB" w:rsidR="00CF6396" w:rsidRDefault="00CF6396" w:rsidP="0033368D">
            <w:pPr>
              <w:spacing w:after="160" w:line="259" w:lineRule="auto"/>
              <w:ind w:left="0" w:firstLine="0"/>
              <w:jc w:val="left"/>
            </w:pPr>
            <w:r>
              <w:t xml:space="preserve">Add references to </w:t>
            </w:r>
            <w:r w:rsidR="007A12A6">
              <w:t>Publication</w:t>
            </w:r>
            <w:r w:rsidR="00C47338">
              <w:t xml:space="preserve"> </w:t>
            </w:r>
            <w:r>
              <w:t>London Plan (Dec</w:t>
            </w:r>
            <w:r w:rsidR="00017BEE">
              <w:t>ember</w:t>
            </w:r>
            <w:r>
              <w:t xml:space="preserve"> 20</w:t>
            </w:r>
            <w:r w:rsidR="007A12A6">
              <w:t>20</w:t>
            </w:r>
            <w:r>
              <w:t xml:space="preserve">): </w:t>
            </w:r>
            <w:r w:rsidR="00AE10E4">
              <w:t xml:space="preserve">T2 (Healthy streets), T5 (Cycling), </w:t>
            </w:r>
            <w:r>
              <w:t xml:space="preserve">T6.1 (Residential </w:t>
            </w:r>
            <w:r w:rsidR="006A78FE">
              <w:t>p</w:t>
            </w:r>
            <w:r>
              <w:t xml:space="preserve">arking), T6.2 (Office </w:t>
            </w:r>
            <w:r w:rsidR="005B6FD6">
              <w:t>p</w:t>
            </w:r>
            <w:r>
              <w:t>arking), T7 (Deliveries, servicing and construction), 10.2.8 Vision Zero.</w:t>
            </w:r>
          </w:p>
          <w:p w14:paraId="646C2A69" w14:textId="77777777" w:rsidR="002061AE" w:rsidRDefault="008A6611" w:rsidP="008A6611">
            <w:pPr>
              <w:spacing w:after="160" w:line="259" w:lineRule="auto"/>
              <w:jc w:val="left"/>
            </w:pPr>
            <w:r>
              <w:t>Paragraph 9.4</w:t>
            </w:r>
          </w:p>
          <w:p w14:paraId="24A3EB9E" w14:textId="77777777" w:rsidR="008A6611" w:rsidRDefault="008A6611" w:rsidP="00C47338">
            <w:pPr>
              <w:spacing w:after="160" w:line="259" w:lineRule="auto"/>
              <w:ind w:left="0" w:firstLine="0"/>
              <w:jc w:val="left"/>
            </w:pPr>
            <w:r>
              <w:t>Add a new sentence to the end of the paragraph:</w:t>
            </w:r>
            <w:r w:rsidR="00DF15D1">
              <w:t xml:space="preserve"> It will also support the Mayor of London’s Vision Zero aim to eliminate all deaths and serious injuries on the road network by 2041.</w:t>
            </w:r>
          </w:p>
          <w:p w14:paraId="3F92CE56" w14:textId="77777777" w:rsidR="00DF15D1" w:rsidRDefault="00CF6396" w:rsidP="00DF15D1">
            <w:pPr>
              <w:spacing w:after="160" w:line="259" w:lineRule="auto"/>
              <w:jc w:val="left"/>
            </w:pPr>
            <w:r>
              <w:t>Paragraph 9.5</w:t>
            </w:r>
          </w:p>
          <w:p w14:paraId="7E028D15" w14:textId="77777777" w:rsidR="00CF6396" w:rsidRDefault="00CF6396" w:rsidP="00DF15D1">
            <w:pPr>
              <w:spacing w:after="160" w:line="259" w:lineRule="auto"/>
              <w:jc w:val="left"/>
            </w:pPr>
            <w:r>
              <w:t>Modify as written in the SOCG.</w:t>
            </w:r>
          </w:p>
        </w:tc>
      </w:tr>
      <w:tr w:rsidR="002061AE" w14:paraId="4E45F78C" w14:textId="77777777" w:rsidTr="003C5B31">
        <w:tc>
          <w:tcPr>
            <w:tcW w:w="0" w:type="auto"/>
          </w:tcPr>
          <w:p w14:paraId="5C1A7242" w14:textId="77777777" w:rsidR="002061AE" w:rsidRDefault="00CF6396" w:rsidP="00D249AC">
            <w:pPr>
              <w:spacing w:after="160" w:line="259" w:lineRule="auto"/>
              <w:ind w:left="0" w:firstLine="0"/>
              <w:jc w:val="left"/>
            </w:pPr>
            <w:r>
              <w:t>PM17</w:t>
            </w:r>
          </w:p>
        </w:tc>
        <w:tc>
          <w:tcPr>
            <w:tcW w:w="0" w:type="auto"/>
          </w:tcPr>
          <w:p w14:paraId="7D9E3287" w14:textId="77777777" w:rsidR="002061AE" w:rsidRDefault="00CF6396" w:rsidP="00D249AC">
            <w:pPr>
              <w:spacing w:after="160" w:line="259" w:lineRule="auto"/>
              <w:ind w:left="0" w:firstLine="0"/>
              <w:jc w:val="left"/>
            </w:pPr>
            <w:r>
              <w:t>Pages 47/48</w:t>
            </w:r>
          </w:p>
        </w:tc>
        <w:tc>
          <w:tcPr>
            <w:tcW w:w="0" w:type="auto"/>
          </w:tcPr>
          <w:p w14:paraId="39055C1B" w14:textId="77777777" w:rsidR="002061AE" w:rsidRDefault="00CF6396" w:rsidP="0033368D">
            <w:pPr>
              <w:spacing w:after="160" w:line="259" w:lineRule="auto"/>
              <w:ind w:left="0" w:firstLine="0"/>
              <w:jc w:val="left"/>
            </w:pPr>
            <w:r>
              <w:t>Policy T2: Improving the distribution and delivery of goods to local businesses</w:t>
            </w:r>
          </w:p>
          <w:p w14:paraId="1DAB436A" w14:textId="77777777" w:rsidR="00CF6396" w:rsidRDefault="00CF6396" w:rsidP="00E0560F">
            <w:pPr>
              <w:spacing w:after="160" w:line="259" w:lineRule="auto"/>
              <w:jc w:val="left"/>
            </w:pPr>
            <w:r>
              <w:t>Modify as written in the SOCG.</w:t>
            </w:r>
          </w:p>
        </w:tc>
      </w:tr>
    </w:tbl>
    <w:p w14:paraId="6D369EFB" w14:textId="77777777" w:rsidR="003C5B31" w:rsidRDefault="003C5B31" w:rsidP="00D249AC">
      <w:pPr>
        <w:spacing w:after="160" w:line="259" w:lineRule="auto"/>
        <w:jc w:val="left"/>
      </w:pPr>
    </w:p>
    <w:p w14:paraId="736BE942" w14:textId="77777777" w:rsidR="00A67E7B" w:rsidRDefault="00A67E7B" w:rsidP="00001E4F">
      <w:pPr>
        <w:ind w:left="0" w:firstLine="0"/>
      </w:pPr>
    </w:p>
    <w:sectPr w:rsidR="00A67E7B" w:rsidSect="003D43E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13238" w14:textId="77777777" w:rsidR="00835C4D" w:rsidRDefault="00835C4D" w:rsidP="00F82C24">
      <w:r>
        <w:separator/>
      </w:r>
    </w:p>
  </w:endnote>
  <w:endnote w:type="continuationSeparator" w:id="0">
    <w:p w14:paraId="3CF37307" w14:textId="77777777" w:rsidR="00835C4D" w:rsidRDefault="00835C4D" w:rsidP="00F82C24">
      <w:r>
        <w:continuationSeparator/>
      </w:r>
    </w:p>
  </w:endnote>
  <w:endnote w:type="continuationNotice" w:id="1">
    <w:p w14:paraId="64E7E84C" w14:textId="77777777" w:rsidR="00835C4D" w:rsidRDefault="00835C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7227398"/>
      <w:docPartObj>
        <w:docPartGallery w:val="Page Numbers (Bottom of Page)"/>
        <w:docPartUnique/>
      </w:docPartObj>
    </w:sdtPr>
    <w:sdtEndPr>
      <w:rPr>
        <w:noProof/>
      </w:rPr>
    </w:sdtEndPr>
    <w:sdtContent>
      <w:p w14:paraId="04967E60" w14:textId="759BF13E" w:rsidR="008D519D" w:rsidRDefault="008D519D" w:rsidP="00E82D45">
        <w:pPr>
          <w:pStyle w:val="Footer"/>
          <w:jc w:val="center"/>
          <w:rPr>
            <w:rFonts w:ascii="Microsoft JhengHei UI" w:eastAsia="Microsoft JhengHei UI" w:hAnsi="Microsoft JhengHei UI"/>
            <w:color w:val="002060"/>
            <w:sz w:val="20"/>
          </w:rPr>
        </w:pPr>
        <w:r w:rsidRPr="00CB17B1">
          <w:rPr>
            <w:rFonts w:ascii="Microsoft JhengHei UI" w:eastAsia="Microsoft JhengHei UI" w:hAnsi="Microsoft JhengHei UI"/>
            <w:color w:val="002060"/>
            <w:sz w:val="20"/>
          </w:rPr>
          <w:t xml:space="preserve">Intelligent Plans and Examinations (IPE) Ltd, </w:t>
        </w:r>
        <w:r>
          <w:rPr>
            <w:rFonts w:ascii="Microsoft JhengHei UI" w:eastAsia="Microsoft JhengHei UI" w:hAnsi="Microsoft JhengHei UI"/>
            <w:color w:val="002060"/>
            <w:sz w:val="20"/>
          </w:rPr>
          <w:t>3 Princes Street, Bath BA1 1HL</w:t>
        </w:r>
      </w:p>
      <w:p w14:paraId="1C7AD2B0" w14:textId="77777777" w:rsidR="008D519D" w:rsidRPr="00D20769" w:rsidRDefault="008D519D" w:rsidP="00E82D45">
        <w:pPr>
          <w:pStyle w:val="Footer"/>
          <w:jc w:val="center"/>
          <w:rPr>
            <w:rFonts w:ascii="Microsoft JhengHei UI" w:eastAsia="Microsoft JhengHei UI" w:hAnsi="Microsoft JhengHei UI"/>
            <w:color w:val="002060"/>
            <w:sz w:val="20"/>
          </w:rPr>
        </w:pPr>
        <w:r w:rsidRPr="00CB17B1">
          <w:rPr>
            <w:rFonts w:ascii="Microsoft JhengHei UI" w:eastAsia="Microsoft JhengHei UI" w:hAnsi="Microsoft JhengHei UI"/>
            <w:color w:val="92D050"/>
            <w:sz w:val="16"/>
            <w:szCs w:val="16"/>
          </w:rPr>
          <w:t xml:space="preserve">Registered in England and Wales. Company Reg. No. </w:t>
        </w:r>
        <w:r>
          <w:rPr>
            <w:rFonts w:ascii="Microsoft JhengHei UI" w:eastAsia="Microsoft JhengHei UI" w:hAnsi="Microsoft JhengHei UI"/>
            <w:color w:val="92D050"/>
            <w:sz w:val="16"/>
            <w:szCs w:val="16"/>
          </w:rPr>
          <w:t>1</w:t>
        </w:r>
        <w:r w:rsidRPr="00CB17B1">
          <w:rPr>
            <w:rFonts w:ascii="Microsoft JhengHei UI" w:eastAsia="Microsoft JhengHei UI" w:hAnsi="Microsoft JhengHei UI"/>
            <w:color w:val="92D050"/>
            <w:sz w:val="16"/>
            <w:szCs w:val="16"/>
          </w:rPr>
          <w:t>0100118</w:t>
        </w:r>
        <w:r>
          <w:rPr>
            <w:rFonts w:ascii="Microsoft JhengHei UI" w:eastAsia="Microsoft JhengHei UI" w:hAnsi="Microsoft JhengHei UI"/>
            <w:color w:val="92D050"/>
            <w:sz w:val="16"/>
            <w:szCs w:val="16"/>
          </w:rPr>
          <w:t xml:space="preserve">. VAT Reg. No. </w:t>
        </w:r>
        <w:r w:rsidRPr="00D20769">
          <w:rPr>
            <w:rFonts w:ascii="Microsoft JhengHei UI" w:eastAsia="Microsoft JhengHei UI" w:hAnsi="Microsoft JhengHei UI"/>
            <w:color w:val="92D050"/>
            <w:sz w:val="16"/>
            <w:szCs w:val="16"/>
          </w:rPr>
          <w:t>237 7641 84</w:t>
        </w:r>
      </w:p>
      <w:p w14:paraId="2EF16B0D" w14:textId="77777777" w:rsidR="008D519D" w:rsidRDefault="008D519D" w:rsidP="00E82D45">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14:paraId="7EA4A5A4" w14:textId="77777777" w:rsidR="008D519D" w:rsidRDefault="008D51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F9CEF" w14:textId="77777777" w:rsidR="00835C4D" w:rsidRDefault="00835C4D" w:rsidP="00F82C24">
      <w:r>
        <w:separator/>
      </w:r>
    </w:p>
  </w:footnote>
  <w:footnote w:type="continuationSeparator" w:id="0">
    <w:p w14:paraId="7A2CC695" w14:textId="77777777" w:rsidR="00835C4D" w:rsidRDefault="00835C4D" w:rsidP="00F82C24">
      <w:r>
        <w:continuationSeparator/>
      </w:r>
    </w:p>
  </w:footnote>
  <w:footnote w:type="continuationNotice" w:id="1">
    <w:p w14:paraId="6894A174" w14:textId="77777777" w:rsidR="00835C4D" w:rsidRDefault="00835C4D"/>
  </w:footnote>
  <w:footnote w:id="2">
    <w:p w14:paraId="38E4618C" w14:textId="2D57CD6F" w:rsidR="008D519D" w:rsidRDefault="008D519D">
      <w:pPr>
        <w:pStyle w:val="FootnoteText"/>
      </w:pPr>
      <w:r>
        <w:rPr>
          <w:rStyle w:val="FootnoteReference"/>
        </w:rPr>
        <w:footnoteRef/>
      </w:r>
      <w:r>
        <w:t xml:space="preserve"> See paragraph 3.3 below (and PM1 in Appendix 1).</w:t>
      </w:r>
    </w:p>
  </w:footnote>
  <w:footnote w:id="3">
    <w:p w14:paraId="0FD64F19" w14:textId="1DC48140" w:rsidR="008D519D" w:rsidRDefault="008D519D" w:rsidP="006057DF">
      <w:pPr>
        <w:pStyle w:val="CommentText"/>
        <w:ind w:left="0" w:firstLine="0"/>
        <w:jc w:val="left"/>
      </w:pPr>
      <w:r>
        <w:rPr>
          <w:rStyle w:val="FootnoteReference"/>
        </w:rPr>
        <w:footnoteRef/>
      </w:r>
      <w:r>
        <w:t xml:space="preserve"> </w:t>
      </w:r>
      <w:r w:rsidRPr="008F5F47">
        <w:t xml:space="preserve">In accordance with paragraphs 12(4) and 15 of Schedule 4B to the Town and Country Planning Act 1990 (as amended), the draft </w:t>
      </w:r>
      <w:r>
        <w:t>P</w:t>
      </w:r>
      <w:r w:rsidRPr="008F5F47">
        <w:t>lan relates to a neighbourhood area that has been designated as a business area under section 61H of the 1990 Act. The combined effect of these provisions is that an additional business referendum is required.</w:t>
      </w:r>
    </w:p>
    <w:p w14:paraId="207454C4" w14:textId="2BA5355F" w:rsidR="008D519D" w:rsidRDefault="008D519D">
      <w:pPr>
        <w:pStyle w:val="FootnoteText"/>
      </w:pPr>
    </w:p>
  </w:footnote>
  <w:footnote w:id="4">
    <w:p w14:paraId="2D2DECB3" w14:textId="1DE03E9B" w:rsidR="008D519D" w:rsidRDefault="008D519D">
      <w:pPr>
        <w:pStyle w:val="FootnoteText"/>
      </w:pPr>
      <w:r>
        <w:rPr>
          <w:rStyle w:val="FootnoteReference"/>
        </w:rPr>
        <w:footnoteRef/>
      </w:r>
      <w:r>
        <w:t xml:space="preserve"> </w:t>
      </w:r>
      <w:r w:rsidRPr="00EB0C67">
        <w:rPr>
          <w:rFonts w:cs="Arial"/>
        </w:rPr>
        <w:t xml:space="preserve">The </w:t>
      </w:r>
      <w:r w:rsidRPr="00EB0C67">
        <w:rPr>
          <w:rFonts w:cs="Arial"/>
          <w:shd w:val="clear" w:color="auto" w:fill="FFFFFF"/>
        </w:rPr>
        <w:t>existing body of environmental regulation is retained in UK law.</w:t>
      </w:r>
    </w:p>
  </w:footnote>
  <w:footnote w:id="5">
    <w:p w14:paraId="18933544" w14:textId="56988313" w:rsidR="008D519D" w:rsidRDefault="008D519D" w:rsidP="00031AC5">
      <w:pPr>
        <w:pStyle w:val="CommentText"/>
        <w:ind w:left="0" w:firstLine="0"/>
        <w:jc w:val="left"/>
      </w:pPr>
      <w:r>
        <w:rPr>
          <w:rStyle w:val="FootnoteReference"/>
        </w:rPr>
        <w:footnoteRef/>
      </w:r>
      <w:r>
        <w:t xml:space="preserve"> </w:t>
      </w:r>
      <w:r w:rsidRPr="007A3C35">
        <w:t>This revised Basic Condition came into force on 28 December 2018 through the Conservation of Habitats and Species and Planning (Various Amendments) (England and Wales) Regulations 2018.</w:t>
      </w:r>
    </w:p>
  </w:footnote>
  <w:footnote w:id="6">
    <w:p w14:paraId="318369E0" w14:textId="2537250A" w:rsidR="008D519D" w:rsidRDefault="008D519D" w:rsidP="001C25CD">
      <w:pPr>
        <w:pStyle w:val="FootnoteText"/>
        <w:ind w:left="0" w:firstLine="0"/>
        <w:jc w:val="left"/>
      </w:pPr>
      <w:r>
        <w:rPr>
          <w:rStyle w:val="FootnoteReference"/>
        </w:rPr>
        <w:footnoteRef/>
      </w:r>
      <w:r>
        <w:t xml:space="preserve"> View at: </w:t>
      </w:r>
      <w:hyperlink r:id="rId1" w:history="1">
        <w:r w:rsidRPr="002A5CEE">
          <w:rPr>
            <w:rStyle w:val="Hyperlink"/>
          </w:rPr>
          <w:t>https://www.london.gov.uk/sites/default/files/letter_from_sos_mhclg_london_plan_29_jan_21.pdf</w:t>
        </w:r>
      </w:hyperlink>
    </w:p>
  </w:footnote>
  <w:footnote w:id="7">
    <w:p w14:paraId="618B41EB" w14:textId="6B469DAE" w:rsidR="008D519D" w:rsidRPr="00ED729E" w:rsidRDefault="008D519D">
      <w:pPr>
        <w:pStyle w:val="FootnoteText"/>
      </w:pPr>
      <w:r>
        <w:rPr>
          <w:rStyle w:val="FootnoteReference"/>
        </w:rPr>
        <w:footnoteRef/>
      </w:r>
      <w:r>
        <w:t xml:space="preserve"> </w:t>
      </w:r>
      <w:r w:rsidRPr="008F0A51">
        <w:t xml:space="preserve">PPG </w:t>
      </w:r>
      <w:r w:rsidRPr="00ED729E">
        <w:t>Reference ID: 41-009-20190509</w:t>
      </w:r>
      <w:r>
        <w:t>.</w:t>
      </w:r>
    </w:p>
  </w:footnote>
  <w:footnote w:id="8">
    <w:p w14:paraId="3B023288" w14:textId="2AC5B30E" w:rsidR="008D519D" w:rsidRDefault="008D519D">
      <w:pPr>
        <w:pStyle w:val="FootnoteText"/>
      </w:pPr>
      <w:r>
        <w:rPr>
          <w:rStyle w:val="FootnoteReference"/>
        </w:rPr>
        <w:footnoteRef/>
      </w:r>
      <w:r>
        <w:t xml:space="preserve"> See footnote 1.</w:t>
      </w:r>
    </w:p>
  </w:footnote>
  <w:footnote w:id="9">
    <w:p w14:paraId="52C9E7AC" w14:textId="21FB543C" w:rsidR="008D519D" w:rsidRDefault="008D519D" w:rsidP="00EB286A">
      <w:pPr>
        <w:pStyle w:val="FootnoteText"/>
        <w:ind w:left="0" w:firstLine="0"/>
        <w:jc w:val="left"/>
      </w:pPr>
      <w:r>
        <w:rPr>
          <w:rStyle w:val="FootnoteReference"/>
        </w:rPr>
        <w:footnoteRef/>
      </w:r>
      <w:r>
        <w:t xml:space="preserve"> View the documents at:</w:t>
      </w:r>
      <w:r w:rsidRPr="00A72D0E">
        <w:t xml:space="preserve"> </w:t>
      </w:r>
      <w:hyperlink r:id="rId2" w:history="1">
        <w:r w:rsidRPr="00F66B62">
          <w:rPr>
            <w:rStyle w:val="Hyperlink"/>
          </w:rPr>
          <w:t>https://www.westminster.gov.uk/planning-building-and-environmental-regulations/city-plan-neighbourhood-planning-and-planning-policy/fitzrovia-west-neighbourhood-plan</w:t>
        </w:r>
      </w:hyperlink>
      <w:r w:rsidRPr="00B4579D">
        <w:t>.</w:t>
      </w:r>
      <w:r>
        <w:t xml:space="preserve"> The December 2020 SOCG also forms Appendix 2 of this report.</w:t>
      </w:r>
    </w:p>
  </w:footnote>
  <w:footnote w:id="10">
    <w:p w14:paraId="2B3C0B61" w14:textId="77777777" w:rsidR="008D519D" w:rsidRDefault="008D519D" w:rsidP="008B0C58">
      <w:pPr>
        <w:pStyle w:val="FootnoteText"/>
      </w:pPr>
      <w:r>
        <w:rPr>
          <w:rStyle w:val="FootnoteReference"/>
        </w:rPr>
        <w:footnoteRef/>
      </w:r>
      <w:r>
        <w:t xml:space="preserve"> </w:t>
      </w:r>
      <w:hyperlink r:id="rId3" w:history="1">
        <w:r>
          <w:rPr>
            <w:rStyle w:val="Hyperlink"/>
          </w:rPr>
          <w:t>Constitution | FitzWest</w:t>
        </w:r>
      </w:hyperlink>
    </w:p>
  </w:footnote>
  <w:footnote w:id="11">
    <w:p w14:paraId="54A44893" w14:textId="4F20436B" w:rsidR="008D519D" w:rsidRDefault="008D519D" w:rsidP="006820B9">
      <w:pPr>
        <w:pStyle w:val="FootnoteText"/>
        <w:ind w:left="0" w:firstLine="0"/>
        <w:jc w:val="left"/>
      </w:pPr>
      <w:r>
        <w:rPr>
          <w:rStyle w:val="FootnoteReference"/>
        </w:rPr>
        <w:footnoteRef/>
      </w:r>
      <w:r>
        <w:t xml:space="preserve"> A</w:t>
      </w:r>
      <w:r w:rsidRPr="00DC4FB3">
        <w:t xml:space="preserve"> new Oxford Street District Framework </w:t>
      </w:r>
      <w:r w:rsidR="00BA7E4C">
        <w:t xml:space="preserve">has been </w:t>
      </w:r>
      <w:r w:rsidR="006820B9">
        <w:t>p</w:t>
      </w:r>
      <w:r w:rsidRPr="00DC4FB3">
        <w:t>ublished on 16 February</w:t>
      </w:r>
      <w:r>
        <w:t xml:space="preserve"> 2021. View at:</w:t>
      </w:r>
      <w:r w:rsidRPr="00DC4FB3">
        <w:t xml:space="preserve"> </w:t>
      </w:r>
      <w:hyperlink r:id="rId4" w:history="1">
        <w:r w:rsidRPr="00F66B62">
          <w:rPr>
            <w:rStyle w:val="Hyperlink"/>
          </w:rPr>
          <w:t>https://osd.london/</w:t>
        </w:r>
      </w:hyperlink>
    </w:p>
    <w:p w14:paraId="201A18EA" w14:textId="337618DB" w:rsidR="008D519D" w:rsidRDefault="008D519D" w:rsidP="00DC4FB3">
      <w:pPr>
        <w:pStyle w:val="FootnoteText"/>
        <w:ind w:left="0" w:firstLine="0"/>
      </w:pPr>
      <w:r w:rsidRPr="00DC4FB3">
        <w:t xml:space="preserve">  </w:t>
      </w:r>
    </w:p>
  </w:footnote>
  <w:footnote w:id="12">
    <w:p w14:paraId="654722E3" w14:textId="57041D95" w:rsidR="006820B9" w:rsidRPr="00907841" w:rsidRDefault="008D519D" w:rsidP="006820B9">
      <w:pPr>
        <w:pStyle w:val="FootnoteText"/>
        <w:ind w:left="0" w:firstLine="0"/>
        <w:jc w:val="left"/>
        <w:rPr>
          <w:color w:val="FF0000"/>
        </w:rPr>
      </w:pPr>
      <w:r>
        <w:rPr>
          <w:rStyle w:val="FootnoteReference"/>
        </w:rPr>
        <w:footnoteRef/>
      </w:r>
      <w:r>
        <w:t xml:space="preserve"> View at: </w:t>
      </w:r>
      <w:hyperlink r:id="rId5" w:history="1">
        <w:r w:rsidR="006820B9" w:rsidRPr="002A5CEE">
          <w:rPr>
            <w:rStyle w:val="Hyperlink"/>
          </w:rPr>
          <w:t>https://www.westminster.gov.uk/planning-building-and-environmental-regulations/city-plan-neighbourhood-planning-and-planning-policy/fitzrovia-west-neighbourhood-plan</w:t>
        </w:r>
      </w:hyperlink>
      <w:r w:rsidRPr="00B4579D" w:rsidDel="000B3099">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54ABD"/>
    <w:multiLevelType w:val="hybridMultilevel"/>
    <w:tmpl w:val="CC7A190C"/>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1" w15:restartNumberingAfterBreak="0">
    <w:nsid w:val="036B4447"/>
    <w:multiLevelType w:val="hybridMultilevel"/>
    <w:tmpl w:val="30823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8195B"/>
    <w:multiLevelType w:val="hybridMultilevel"/>
    <w:tmpl w:val="8710DE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05078E"/>
    <w:multiLevelType w:val="hybridMultilevel"/>
    <w:tmpl w:val="240C5186"/>
    <w:lvl w:ilvl="0" w:tplc="1582725A">
      <w:start w:val="3"/>
      <w:numFmt w:val="bullet"/>
      <w:lvlText w:val="-"/>
      <w:lvlJc w:val="left"/>
      <w:pPr>
        <w:ind w:left="2138" w:hanging="360"/>
      </w:pPr>
      <w:rPr>
        <w:rFonts w:ascii="Calibri" w:eastAsia="Times New Roman" w:hAnsi="Calibri" w:cs="Times New Roman"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 w15:restartNumberingAfterBreak="0">
    <w:nsid w:val="103A3372"/>
    <w:multiLevelType w:val="hybridMultilevel"/>
    <w:tmpl w:val="91E6A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5D378CA"/>
    <w:multiLevelType w:val="hybridMultilevel"/>
    <w:tmpl w:val="4266AC0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15:restartNumberingAfterBreak="0">
    <w:nsid w:val="1BC765F9"/>
    <w:multiLevelType w:val="hybridMultilevel"/>
    <w:tmpl w:val="9E20C06C"/>
    <w:lvl w:ilvl="0" w:tplc="FFFFFFFF">
      <w:start w:val="1"/>
      <w:numFmt w:val="bullet"/>
      <w:lvlText w:val=""/>
      <w:lvlJc w:val="left"/>
      <w:pPr>
        <w:tabs>
          <w:tab w:val="num" w:pos="2508"/>
        </w:tabs>
        <w:ind w:left="2508" w:hanging="360"/>
      </w:pPr>
      <w:rPr>
        <w:rFonts w:ascii="Symbol" w:hAnsi="Symbol" w:hint="default"/>
      </w:rPr>
    </w:lvl>
    <w:lvl w:ilvl="1" w:tplc="08090003" w:tentative="1">
      <w:start w:val="1"/>
      <w:numFmt w:val="bullet"/>
      <w:lvlText w:val="o"/>
      <w:lvlJc w:val="left"/>
      <w:pPr>
        <w:ind w:left="3228" w:hanging="360"/>
      </w:pPr>
      <w:rPr>
        <w:rFonts w:ascii="Courier New" w:hAnsi="Courier New" w:cs="Courier New" w:hint="default"/>
      </w:rPr>
    </w:lvl>
    <w:lvl w:ilvl="2" w:tplc="08090005" w:tentative="1">
      <w:start w:val="1"/>
      <w:numFmt w:val="bullet"/>
      <w:lvlText w:val=""/>
      <w:lvlJc w:val="left"/>
      <w:pPr>
        <w:ind w:left="3948" w:hanging="360"/>
      </w:pPr>
      <w:rPr>
        <w:rFonts w:ascii="Wingdings" w:hAnsi="Wingdings" w:hint="default"/>
      </w:rPr>
    </w:lvl>
    <w:lvl w:ilvl="3" w:tplc="08090001" w:tentative="1">
      <w:start w:val="1"/>
      <w:numFmt w:val="bullet"/>
      <w:lvlText w:val=""/>
      <w:lvlJc w:val="left"/>
      <w:pPr>
        <w:ind w:left="4668" w:hanging="360"/>
      </w:pPr>
      <w:rPr>
        <w:rFonts w:ascii="Symbol" w:hAnsi="Symbol" w:hint="default"/>
      </w:rPr>
    </w:lvl>
    <w:lvl w:ilvl="4" w:tplc="08090003" w:tentative="1">
      <w:start w:val="1"/>
      <w:numFmt w:val="bullet"/>
      <w:lvlText w:val="o"/>
      <w:lvlJc w:val="left"/>
      <w:pPr>
        <w:ind w:left="5388" w:hanging="360"/>
      </w:pPr>
      <w:rPr>
        <w:rFonts w:ascii="Courier New" w:hAnsi="Courier New" w:cs="Courier New" w:hint="default"/>
      </w:rPr>
    </w:lvl>
    <w:lvl w:ilvl="5" w:tplc="08090005" w:tentative="1">
      <w:start w:val="1"/>
      <w:numFmt w:val="bullet"/>
      <w:lvlText w:val=""/>
      <w:lvlJc w:val="left"/>
      <w:pPr>
        <w:ind w:left="6108" w:hanging="360"/>
      </w:pPr>
      <w:rPr>
        <w:rFonts w:ascii="Wingdings" w:hAnsi="Wingdings" w:hint="default"/>
      </w:rPr>
    </w:lvl>
    <w:lvl w:ilvl="6" w:tplc="08090001" w:tentative="1">
      <w:start w:val="1"/>
      <w:numFmt w:val="bullet"/>
      <w:lvlText w:val=""/>
      <w:lvlJc w:val="left"/>
      <w:pPr>
        <w:ind w:left="6828" w:hanging="360"/>
      </w:pPr>
      <w:rPr>
        <w:rFonts w:ascii="Symbol" w:hAnsi="Symbol" w:hint="default"/>
      </w:rPr>
    </w:lvl>
    <w:lvl w:ilvl="7" w:tplc="08090003" w:tentative="1">
      <w:start w:val="1"/>
      <w:numFmt w:val="bullet"/>
      <w:lvlText w:val="o"/>
      <w:lvlJc w:val="left"/>
      <w:pPr>
        <w:ind w:left="7548" w:hanging="360"/>
      </w:pPr>
      <w:rPr>
        <w:rFonts w:ascii="Courier New" w:hAnsi="Courier New" w:cs="Courier New" w:hint="default"/>
      </w:rPr>
    </w:lvl>
    <w:lvl w:ilvl="8" w:tplc="08090005" w:tentative="1">
      <w:start w:val="1"/>
      <w:numFmt w:val="bullet"/>
      <w:lvlText w:val=""/>
      <w:lvlJc w:val="left"/>
      <w:pPr>
        <w:ind w:left="8268" w:hanging="360"/>
      </w:pPr>
      <w:rPr>
        <w:rFonts w:ascii="Wingdings" w:hAnsi="Wingdings" w:hint="default"/>
      </w:rPr>
    </w:lvl>
  </w:abstractNum>
  <w:abstractNum w:abstractNumId="7" w15:restartNumberingAfterBreak="0">
    <w:nsid w:val="28340BB8"/>
    <w:multiLevelType w:val="hybridMultilevel"/>
    <w:tmpl w:val="BECE6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CE218C"/>
    <w:multiLevelType w:val="hybridMultilevel"/>
    <w:tmpl w:val="3BDCC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8A7139"/>
    <w:multiLevelType w:val="hybridMultilevel"/>
    <w:tmpl w:val="DE5E4312"/>
    <w:lvl w:ilvl="0" w:tplc="1582725A">
      <w:start w:val="3"/>
      <w:numFmt w:val="bullet"/>
      <w:lvlText w:val="-"/>
      <w:lvlJc w:val="left"/>
      <w:pPr>
        <w:ind w:left="1287" w:hanging="360"/>
      </w:pPr>
      <w:rPr>
        <w:rFonts w:ascii="Calibri" w:eastAsia="Times New Roman"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496A1AB1"/>
    <w:multiLevelType w:val="hybridMultilevel"/>
    <w:tmpl w:val="546AC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A73462"/>
    <w:multiLevelType w:val="hybridMultilevel"/>
    <w:tmpl w:val="AFAA8CDC"/>
    <w:lvl w:ilvl="0" w:tplc="ACC0C718">
      <w:start w:val="1"/>
      <w:numFmt w:val="bullet"/>
      <w:lvlText w:val="-"/>
      <w:lvlJc w:val="left"/>
      <w:pPr>
        <w:ind w:left="1440" w:hanging="360"/>
      </w:pPr>
      <w:rPr>
        <w:rFonts w:ascii="Verdana" w:eastAsia="Times New Roman" w:hAnsi="Verdana"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3147567"/>
    <w:multiLevelType w:val="hybridMultilevel"/>
    <w:tmpl w:val="D9A2B1E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2056ECC0">
      <w:start w:val="1"/>
      <w:numFmt w:val="decimal"/>
      <w:lvlText w:val="%3."/>
      <w:lvlJc w:val="left"/>
      <w:pPr>
        <w:ind w:left="2340" w:hanging="360"/>
      </w:pPr>
      <w:rPr>
        <w:rFonts w:hint="default"/>
      </w:rPr>
    </w:lvl>
    <w:lvl w:ilvl="3" w:tplc="ACC0C718">
      <w:start w:val="1"/>
      <w:numFmt w:val="bullet"/>
      <w:lvlText w:val="-"/>
      <w:lvlJc w:val="left"/>
      <w:pPr>
        <w:ind w:left="2880" w:hanging="360"/>
      </w:pPr>
      <w:rPr>
        <w:rFonts w:ascii="Verdana" w:eastAsia="Times New Roman" w:hAnsi="Verdana"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54381E69"/>
    <w:multiLevelType w:val="hybridMultilevel"/>
    <w:tmpl w:val="D95C53B8"/>
    <w:lvl w:ilvl="0" w:tplc="F9F4AAE0">
      <w:start w:val="4"/>
      <w:numFmt w:val="bullet"/>
      <w:lvlText w:val="-"/>
      <w:lvlJc w:val="left"/>
      <w:pPr>
        <w:ind w:left="1440" w:hanging="360"/>
      </w:pPr>
      <w:rPr>
        <w:rFonts w:ascii="Verdana" w:eastAsia="Times New Roman" w:hAnsi="Verdana"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B4A5FD3"/>
    <w:multiLevelType w:val="hybridMultilevel"/>
    <w:tmpl w:val="52842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AB59BC"/>
    <w:multiLevelType w:val="hybridMultilevel"/>
    <w:tmpl w:val="1110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897F71"/>
    <w:multiLevelType w:val="hybridMultilevel"/>
    <w:tmpl w:val="C0CC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5"/>
  </w:num>
  <w:num w:numId="4">
    <w:abstractNumId w:val="14"/>
  </w:num>
  <w:num w:numId="5">
    <w:abstractNumId w:val="7"/>
  </w:num>
  <w:num w:numId="6">
    <w:abstractNumId w:val="13"/>
  </w:num>
  <w:num w:numId="7">
    <w:abstractNumId w:val="9"/>
  </w:num>
  <w:num w:numId="8">
    <w:abstractNumId w:val="8"/>
  </w:num>
  <w:num w:numId="9">
    <w:abstractNumId w:val="3"/>
  </w:num>
  <w:num w:numId="10">
    <w:abstractNumId w:val="0"/>
  </w:num>
  <w:num w:numId="11">
    <w:abstractNumId w:val="2"/>
  </w:num>
  <w:num w:numId="12">
    <w:abstractNumId w:val="1"/>
  </w:num>
  <w:num w:numId="13">
    <w:abstractNumId w:val="4"/>
  </w:num>
  <w:num w:numId="14">
    <w:abstractNumId w:val="16"/>
  </w:num>
  <w:num w:numId="15">
    <w:abstractNumId w:val="5"/>
  </w:num>
  <w:num w:numId="16">
    <w:abstractNumId w:val="10"/>
  </w:num>
  <w:num w:numId="17">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3AD"/>
    <w:rsid w:val="00001E4F"/>
    <w:rsid w:val="00004432"/>
    <w:rsid w:val="000050AD"/>
    <w:rsid w:val="00010EC7"/>
    <w:rsid w:val="00011FE7"/>
    <w:rsid w:val="000127F9"/>
    <w:rsid w:val="00015BA5"/>
    <w:rsid w:val="00016E87"/>
    <w:rsid w:val="00017BEE"/>
    <w:rsid w:val="00022253"/>
    <w:rsid w:val="000252D9"/>
    <w:rsid w:val="000253CF"/>
    <w:rsid w:val="00025E51"/>
    <w:rsid w:val="00031AC5"/>
    <w:rsid w:val="000356AF"/>
    <w:rsid w:val="00035DF6"/>
    <w:rsid w:val="00045FD6"/>
    <w:rsid w:val="00046245"/>
    <w:rsid w:val="00046AED"/>
    <w:rsid w:val="00046F52"/>
    <w:rsid w:val="00052455"/>
    <w:rsid w:val="00053A57"/>
    <w:rsid w:val="000577D8"/>
    <w:rsid w:val="00060C6F"/>
    <w:rsid w:val="00064864"/>
    <w:rsid w:val="00066D84"/>
    <w:rsid w:val="000670E7"/>
    <w:rsid w:val="0007104F"/>
    <w:rsid w:val="00071745"/>
    <w:rsid w:val="00072699"/>
    <w:rsid w:val="00072BE8"/>
    <w:rsid w:val="0007627C"/>
    <w:rsid w:val="000772E5"/>
    <w:rsid w:val="000813EF"/>
    <w:rsid w:val="00082A08"/>
    <w:rsid w:val="00084C99"/>
    <w:rsid w:val="000852BC"/>
    <w:rsid w:val="00087E6E"/>
    <w:rsid w:val="000973FE"/>
    <w:rsid w:val="00097DC2"/>
    <w:rsid w:val="000A1891"/>
    <w:rsid w:val="000A5940"/>
    <w:rsid w:val="000A5C35"/>
    <w:rsid w:val="000A6E6B"/>
    <w:rsid w:val="000A722B"/>
    <w:rsid w:val="000A7E98"/>
    <w:rsid w:val="000B059C"/>
    <w:rsid w:val="000B0F7F"/>
    <w:rsid w:val="000B1291"/>
    <w:rsid w:val="000B1411"/>
    <w:rsid w:val="000B3099"/>
    <w:rsid w:val="000B3144"/>
    <w:rsid w:val="000B7378"/>
    <w:rsid w:val="000C1E54"/>
    <w:rsid w:val="000C49A9"/>
    <w:rsid w:val="000D2D55"/>
    <w:rsid w:val="000D5E7F"/>
    <w:rsid w:val="000D7758"/>
    <w:rsid w:val="000E363C"/>
    <w:rsid w:val="000E6193"/>
    <w:rsid w:val="000F0387"/>
    <w:rsid w:val="000F0451"/>
    <w:rsid w:val="000F070C"/>
    <w:rsid w:val="000F29AB"/>
    <w:rsid w:val="000F4E14"/>
    <w:rsid w:val="000F5EB8"/>
    <w:rsid w:val="001014F5"/>
    <w:rsid w:val="00102912"/>
    <w:rsid w:val="00103327"/>
    <w:rsid w:val="00103B38"/>
    <w:rsid w:val="0010465A"/>
    <w:rsid w:val="00104D17"/>
    <w:rsid w:val="00114050"/>
    <w:rsid w:val="001158A5"/>
    <w:rsid w:val="00124492"/>
    <w:rsid w:val="001260F3"/>
    <w:rsid w:val="001320B9"/>
    <w:rsid w:val="00132979"/>
    <w:rsid w:val="001365AC"/>
    <w:rsid w:val="001365C1"/>
    <w:rsid w:val="001367DB"/>
    <w:rsid w:val="00146330"/>
    <w:rsid w:val="00147CDC"/>
    <w:rsid w:val="00151F95"/>
    <w:rsid w:val="00152550"/>
    <w:rsid w:val="001533B5"/>
    <w:rsid w:val="00156554"/>
    <w:rsid w:val="00156741"/>
    <w:rsid w:val="00156781"/>
    <w:rsid w:val="00157AE0"/>
    <w:rsid w:val="00160FE0"/>
    <w:rsid w:val="00161E8B"/>
    <w:rsid w:val="00162DD0"/>
    <w:rsid w:val="001634BF"/>
    <w:rsid w:val="0016357E"/>
    <w:rsid w:val="001658C1"/>
    <w:rsid w:val="0016743F"/>
    <w:rsid w:val="00170360"/>
    <w:rsid w:val="001734A9"/>
    <w:rsid w:val="001768FE"/>
    <w:rsid w:val="00181989"/>
    <w:rsid w:val="00182A85"/>
    <w:rsid w:val="00186273"/>
    <w:rsid w:val="00186A3C"/>
    <w:rsid w:val="00186C10"/>
    <w:rsid w:val="00186DDA"/>
    <w:rsid w:val="00186DFD"/>
    <w:rsid w:val="0019044C"/>
    <w:rsid w:val="0019442C"/>
    <w:rsid w:val="001945F9"/>
    <w:rsid w:val="00195CC3"/>
    <w:rsid w:val="001962DA"/>
    <w:rsid w:val="001A3536"/>
    <w:rsid w:val="001B0C4B"/>
    <w:rsid w:val="001B1B7A"/>
    <w:rsid w:val="001B4050"/>
    <w:rsid w:val="001B6EE6"/>
    <w:rsid w:val="001C25CD"/>
    <w:rsid w:val="001C4B82"/>
    <w:rsid w:val="001C4C86"/>
    <w:rsid w:val="001C5D89"/>
    <w:rsid w:val="001C7222"/>
    <w:rsid w:val="001D17F9"/>
    <w:rsid w:val="001D2D90"/>
    <w:rsid w:val="001D32D9"/>
    <w:rsid w:val="001D5B75"/>
    <w:rsid w:val="001D7010"/>
    <w:rsid w:val="001D75BC"/>
    <w:rsid w:val="001E153E"/>
    <w:rsid w:val="001E4F13"/>
    <w:rsid w:val="001E7466"/>
    <w:rsid w:val="001F0954"/>
    <w:rsid w:val="001F0D57"/>
    <w:rsid w:val="001F33EC"/>
    <w:rsid w:val="001F641B"/>
    <w:rsid w:val="0020149D"/>
    <w:rsid w:val="00204241"/>
    <w:rsid w:val="00204AA5"/>
    <w:rsid w:val="00204B63"/>
    <w:rsid w:val="00206165"/>
    <w:rsid w:val="002061AE"/>
    <w:rsid w:val="00211DAE"/>
    <w:rsid w:val="00212C13"/>
    <w:rsid w:val="0021409C"/>
    <w:rsid w:val="00214DB9"/>
    <w:rsid w:val="002155BD"/>
    <w:rsid w:val="00215DA9"/>
    <w:rsid w:val="00230761"/>
    <w:rsid w:val="00233FC5"/>
    <w:rsid w:val="002351A7"/>
    <w:rsid w:val="002355C6"/>
    <w:rsid w:val="0023667C"/>
    <w:rsid w:val="00237036"/>
    <w:rsid w:val="00250599"/>
    <w:rsid w:val="00252916"/>
    <w:rsid w:val="0025552C"/>
    <w:rsid w:val="00255B87"/>
    <w:rsid w:val="00256DFA"/>
    <w:rsid w:val="00261C4F"/>
    <w:rsid w:val="00262021"/>
    <w:rsid w:val="002647B5"/>
    <w:rsid w:val="00267939"/>
    <w:rsid w:val="0027337E"/>
    <w:rsid w:val="00276BCF"/>
    <w:rsid w:val="002776C2"/>
    <w:rsid w:val="00277B37"/>
    <w:rsid w:val="0028094C"/>
    <w:rsid w:val="00281B45"/>
    <w:rsid w:val="002859F0"/>
    <w:rsid w:val="002919BF"/>
    <w:rsid w:val="00293D76"/>
    <w:rsid w:val="00294FC0"/>
    <w:rsid w:val="00295FD4"/>
    <w:rsid w:val="00297696"/>
    <w:rsid w:val="002A00BC"/>
    <w:rsid w:val="002A409E"/>
    <w:rsid w:val="002A5CFC"/>
    <w:rsid w:val="002A67D6"/>
    <w:rsid w:val="002B0246"/>
    <w:rsid w:val="002B170A"/>
    <w:rsid w:val="002B260A"/>
    <w:rsid w:val="002B328A"/>
    <w:rsid w:val="002B50CA"/>
    <w:rsid w:val="002C09EF"/>
    <w:rsid w:val="002C153C"/>
    <w:rsid w:val="002C180A"/>
    <w:rsid w:val="002C2AF2"/>
    <w:rsid w:val="002D3621"/>
    <w:rsid w:val="002D473C"/>
    <w:rsid w:val="002E25FA"/>
    <w:rsid w:val="002E4B66"/>
    <w:rsid w:val="002E53C4"/>
    <w:rsid w:val="002E590C"/>
    <w:rsid w:val="002E7291"/>
    <w:rsid w:val="002E78B2"/>
    <w:rsid w:val="002E7CC9"/>
    <w:rsid w:val="002F1C07"/>
    <w:rsid w:val="002F24FE"/>
    <w:rsid w:val="002F3F80"/>
    <w:rsid w:val="002F7A70"/>
    <w:rsid w:val="002F7E1C"/>
    <w:rsid w:val="003000AE"/>
    <w:rsid w:val="00304751"/>
    <w:rsid w:val="003070EA"/>
    <w:rsid w:val="0030729F"/>
    <w:rsid w:val="00314EA5"/>
    <w:rsid w:val="00321277"/>
    <w:rsid w:val="003225EE"/>
    <w:rsid w:val="00324D24"/>
    <w:rsid w:val="00325C99"/>
    <w:rsid w:val="00326C09"/>
    <w:rsid w:val="0033012E"/>
    <w:rsid w:val="00330D94"/>
    <w:rsid w:val="0033368D"/>
    <w:rsid w:val="00333B68"/>
    <w:rsid w:val="003356E5"/>
    <w:rsid w:val="0034018A"/>
    <w:rsid w:val="003401EB"/>
    <w:rsid w:val="00341D9F"/>
    <w:rsid w:val="0034268F"/>
    <w:rsid w:val="003433CD"/>
    <w:rsid w:val="00343FF5"/>
    <w:rsid w:val="00344443"/>
    <w:rsid w:val="0035030B"/>
    <w:rsid w:val="0035226B"/>
    <w:rsid w:val="0035253E"/>
    <w:rsid w:val="00352723"/>
    <w:rsid w:val="0035417D"/>
    <w:rsid w:val="0035470E"/>
    <w:rsid w:val="003555D3"/>
    <w:rsid w:val="003558E9"/>
    <w:rsid w:val="003568F5"/>
    <w:rsid w:val="00360C34"/>
    <w:rsid w:val="00361897"/>
    <w:rsid w:val="00363D31"/>
    <w:rsid w:val="00366A9C"/>
    <w:rsid w:val="003730F2"/>
    <w:rsid w:val="00374830"/>
    <w:rsid w:val="003803D1"/>
    <w:rsid w:val="0038188A"/>
    <w:rsid w:val="0038720C"/>
    <w:rsid w:val="00395313"/>
    <w:rsid w:val="0039695C"/>
    <w:rsid w:val="0039759A"/>
    <w:rsid w:val="003A18CE"/>
    <w:rsid w:val="003A4B1B"/>
    <w:rsid w:val="003A73DF"/>
    <w:rsid w:val="003A76F6"/>
    <w:rsid w:val="003A7C81"/>
    <w:rsid w:val="003B2F13"/>
    <w:rsid w:val="003B7A76"/>
    <w:rsid w:val="003C3BFE"/>
    <w:rsid w:val="003C48AB"/>
    <w:rsid w:val="003C5B31"/>
    <w:rsid w:val="003C692C"/>
    <w:rsid w:val="003C6BF9"/>
    <w:rsid w:val="003C6F15"/>
    <w:rsid w:val="003C7CE7"/>
    <w:rsid w:val="003D0AAD"/>
    <w:rsid w:val="003D273F"/>
    <w:rsid w:val="003D43ED"/>
    <w:rsid w:val="003D4DE1"/>
    <w:rsid w:val="003D4F0B"/>
    <w:rsid w:val="003D5865"/>
    <w:rsid w:val="003E0584"/>
    <w:rsid w:val="003E14D2"/>
    <w:rsid w:val="003E232B"/>
    <w:rsid w:val="003E41E9"/>
    <w:rsid w:val="003E5867"/>
    <w:rsid w:val="003E7816"/>
    <w:rsid w:val="003F04C3"/>
    <w:rsid w:val="003F1D4E"/>
    <w:rsid w:val="003F49FA"/>
    <w:rsid w:val="003F4AD4"/>
    <w:rsid w:val="003F595F"/>
    <w:rsid w:val="003F5AA1"/>
    <w:rsid w:val="003F7A91"/>
    <w:rsid w:val="004029BA"/>
    <w:rsid w:val="0040450D"/>
    <w:rsid w:val="00406959"/>
    <w:rsid w:val="00407ED3"/>
    <w:rsid w:val="00410528"/>
    <w:rsid w:val="004105D6"/>
    <w:rsid w:val="00411B86"/>
    <w:rsid w:val="00413C57"/>
    <w:rsid w:val="0042127E"/>
    <w:rsid w:val="004230BB"/>
    <w:rsid w:val="0042410E"/>
    <w:rsid w:val="004250B3"/>
    <w:rsid w:val="004261BB"/>
    <w:rsid w:val="00426481"/>
    <w:rsid w:val="0043114B"/>
    <w:rsid w:val="0043181A"/>
    <w:rsid w:val="004354DE"/>
    <w:rsid w:val="004374A6"/>
    <w:rsid w:val="004374E5"/>
    <w:rsid w:val="0044017C"/>
    <w:rsid w:val="00441D0E"/>
    <w:rsid w:val="00441DC1"/>
    <w:rsid w:val="00441F7E"/>
    <w:rsid w:val="00443487"/>
    <w:rsid w:val="00446694"/>
    <w:rsid w:val="00452105"/>
    <w:rsid w:val="004612BF"/>
    <w:rsid w:val="00461523"/>
    <w:rsid w:val="00461C38"/>
    <w:rsid w:val="004647C6"/>
    <w:rsid w:val="004669EE"/>
    <w:rsid w:val="00466BF2"/>
    <w:rsid w:val="00467660"/>
    <w:rsid w:val="00471BF6"/>
    <w:rsid w:val="00473037"/>
    <w:rsid w:val="004764F8"/>
    <w:rsid w:val="00476AC5"/>
    <w:rsid w:val="00477268"/>
    <w:rsid w:val="00477D28"/>
    <w:rsid w:val="00477F81"/>
    <w:rsid w:val="004839BE"/>
    <w:rsid w:val="00486226"/>
    <w:rsid w:val="00490C83"/>
    <w:rsid w:val="00495BA1"/>
    <w:rsid w:val="004A532A"/>
    <w:rsid w:val="004B17F5"/>
    <w:rsid w:val="004B4CDB"/>
    <w:rsid w:val="004C06D8"/>
    <w:rsid w:val="004C0732"/>
    <w:rsid w:val="004C46DE"/>
    <w:rsid w:val="004C498B"/>
    <w:rsid w:val="004C5278"/>
    <w:rsid w:val="004C5716"/>
    <w:rsid w:val="004D05BE"/>
    <w:rsid w:val="004D096E"/>
    <w:rsid w:val="004D19C6"/>
    <w:rsid w:val="004D23BE"/>
    <w:rsid w:val="004E38CE"/>
    <w:rsid w:val="004E487F"/>
    <w:rsid w:val="004E55A6"/>
    <w:rsid w:val="004F13B8"/>
    <w:rsid w:val="004F2B95"/>
    <w:rsid w:val="004F4810"/>
    <w:rsid w:val="004F4901"/>
    <w:rsid w:val="004F5B3C"/>
    <w:rsid w:val="004F6826"/>
    <w:rsid w:val="004F6D8C"/>
    <w:rsid w:val="0050360F"/>
    <w:rsid w:val="00503BE0"/>
    <w:rsid w:val="00503EC9"/>
    <w:rsid w:val="005054DD"/>
    <w:rsid w:val="00505F8F"/>
    <w:rsid w:val="005061B2"/>
    <w:rsid w:val="0050751A"/>
    <w:rsid w:val="00512591"/>
    <w:rsid w:val="00512C97"/>
    <w:rsid w:val="00514307"/>
    <w:rsid w:val="00514D35"/>
    <w:rsid w:val="005155BF"/>
    <w:rsid w:val="00516CFE"/>
    <w:rsid w:val="00516D56"/>
    <w:rsid w:val="00517E79"/>
    <w:rsid w:val="005225E0"/>
    <w:rsid w:val="00524555"/>
    <w:rsid w:val="00541301"/>
    <w:rsid w:val="00541343"/>
    <w:rsid w:val="005414AF"/>
    <w:rsid w:val="0054197F"/>
    <w:rsid w:val="00543132"/>
    <w:rsid w:val="00543BCA"/>
    <w:rsid w:val="0054410D"/>
    <w:rsid w:val="00545911"/>
    <w:rsid w:val="00551B3D"/>
    <w:rsid w:val="00553604"/>
    <w:rsid w:val="00554E31"/>
    <w:rsid w:val="00556A84"/>
    <w:rsid w:val="00556B1D"/>
    <w:rsid w:val="00560787"/>
    <w:rsid w:val="0056421B"/>
    <w:rsid w:val="00566402"/>
    <w:rsid w:val="00567EEF"/>
    <w:rsid w:val="00571B1A"/>
    <w:rsid w:val="00582B63"/>
    <w:rsid w:val="00582B82"/>
    <w:rsid w:val="00582E32"/>
    <w:rsid w:val="005845DB"/>
    <w:rsid w:val="00590331"/>
    <w:rsid w:val="0059168C"/>
    <w:rsid w:val="00592457"/>
    <w:rsid w:val="00595946"/>
    <w:rsid w:val="005976B9"/>
    <w:rsid w:val="005A29DB"/>
    <w:rsid w:val="005A35EF"/>
    <w:rsid w:val="005A64A7"/>
    <w:rsid w:val="005B22E9"/>
    <w:rsid w:val="005B3BAE"/>
    <w:rsid w:val="005B3D6D"/>
    <w:rsid w:val="005B50E6"/>
    <w:rsid w:val="005B6FD6"/>
    <w:rsid w:val="005B700B"/>
    <w:rsid w:val="005C1578"/>
    <w:rsid w:val="005C2387"/>
    <w:rsid w:val="005C46B1"/>
    <w:rsid w:val="005C51E1"/>
    <w:rsid w:val="005D310A"/>
    <w:rsid w:val="005D5B6C"/>
    <w:rsid w:val="005E0B51"/>
    <w:rsid w:val="005E402D"/>
    <w:rsid w:val="005E40A4"/>
    <w:rsid w:val="005E40C1"/>
    <w:rsid w:val="005E62C0"/>
    <w:rsid w:val="005E7115"/>
    <w:rsid w:val="005F0446"/>
    <w:rsid w:val="005F1BAA"/>
    <w:rsid w:val="005F20EF"/>
    <w:rsid w:val="005F37D7"/>
    <w:rsid w:val="005F4B5D"/>
    <w:rsid w:val="005F5F31"/>
    <w:rsid w:val="005F6AA5"/>
    <w:rsid w:val="00600861"/>
    <w:rsid w:val="00604CCF"/>
    <w:rsid w:val="006057DF"/>
    <w:rsid w:val="00613D59"/>
    <w:rsid w:val="0061748F"/>
    <w:rsid w:val="00621A34"/>
    <w:rsid w:val="00621AF6"/>
    <w:rsid w:val="0062282D"/>
    <w:rsid w:val="00623AF9"/>
    <w:rsid w:val="00624A52"/>
    <w:rsid w:val="00634526"/>
    <w:rsid w:val="00634BD2"/>
    <w:rsid w:val="0063722E"/>
    <w:rsid w:val="00637318"/>
    <w:rsid w:val="0064086C"/>
    <w:rsid w:val="00643F9B"/>
    <w:rsid w:val="006526D7"/>
    <w:rsid w:val="00653223"/>
    <w:rsid w:val="006602CD"/>
    <w:rsid w:val="00665F64"/>
    <w:rsid w:val="00666EBF"/>
    <w:rsid w:val="00667371"/>
    <w:rsid w:val="00667959"/>
    <w:rsid w:val="006727B4"/>
    <w:rsid w:val="00674F41"/>
    <w:rsid w:val="00681A14"/>
    <w:rsid w:val="006820B9"/>
    <w:rsid w:val="00686108"/>
    <w:rsid w:val="006863A0"/>
    <w:rsid w:val="00687634"/>
    <w:rsid w:val="00692370"/>
    <w:rsid w:val="00692DA1"/>
    <w:rsid w:val="00693A6A"/>
    <w:rsid w:val="00694D28"/>
    <w:rsid w:val="006970ED"/>
    <w:rsid w:val="00697814"/>
    <w:rsid w:val="006A0023"/>
    <w:rsid w:val="006A2B50"/>
    <w:rsid w:val="006A3AFE"/>
    <w:rsid w:val="006A564C"/>
    <w:rsid w:val="006A65C2"/>
    <w:rsid w:val="006A78FE"/>
    <w:rsid w:val="006B570E"/>
    <w:rsid w:val="006B60F4"/>
    <w:rsid w:val="006C302C"/>
    <w:rsid w:val="006C41C8"/>
    <w:rsid w:val="006C63A4"/>
    <w:rsid w:val="006C71B6"/>
    <w:rsid w:val="006D1A26"/>
    <w:rsid w:val="006D35B4"/>
    <w:rsid w:val="006D54AE"/>
    <w:rsid w:val="006D5987"/>
    <w:rsid w:val="006D7551"/>
    <w:rsid w:val="006E0771"/>
    <w:rsid w:val="006E14C5"/>
    <w:rsid w:val="006E334B"/>
    <w:rsid w:val="006E3B0A"/>
    <w:rsid w:val="006E5DD5"/>
    <w:rsid w:val="006E6B21"/>
    <w:rsid w:val="006F0051"/>
    <w:rsid w:val="006F2669"/>
    <w:rsid w:val="006F3489"/>
    <w:rsid w:val="006F410B"/>
    <w:rsid w:val="006F4650"/>
    <w:rsid w:val="006F6844"/>
    <w:rsid w:val="007005C7"/>
    <w:rsid w:val="007039C7"/>
    <w:rsid w:val="00705840"/>
    <w:rsid w:val="00715051"/>
    <w:rsid w:val="00715A48"/>
    <w:rsid w:val="00715E1F"/>
    <w:rsid w:val="007169B2"/>
    <w:rsid w:val="00723693"/>
    <w:rsid w:val="007277E4"/>
    <w:rsid w:val="00727C82"/>
    <w:rsid w:val="0073227F"/>
    <w:rsid w:val="00732C5C"/>
    <w:rsid w:val="00733517"/>
    <w:rsid w:val="00733F2B"/>
    <w:rsid w:val="007346FC"/>
    <w:rsid w:val="00735E60"/>
    <w:rsid w:val="00741003"/>
    <w:rsid w:val="0074340E"/>
    <w:rsid w:val="00747C23"/>
    <w:rsid w:val="00751727"/>
    <w:rsid w:val="00755E58"/>
    <w:rsid w:val="0075658C"/>
    <w:rsid w:val="00757A59"/>
    <w:rsid w:val="007601DC"/>
    <w:rsid w:val="00762030"/>
    <w:rsid w:val="00763B54"/>
    <w:rsid w:val="007660DF"/>
    <w:rsid w:val="00767CEC"/>
    <w:rsid w:val="00773856"/>
    <w:rsid w:val="007747D4"/>
    <w:rsid w:val="0077755D"/>
    <w:rsid w:val="007827B2"/>
    <w:rsid w:val="00792E2B"/>
    <w:rsid w:val="00794435"/>
    <w:rsid w:val="007A07E3"/>
    <w:rsid w:val="007A12A6"/>
    <w:rsid w:val="007A17B7"/>
    <w:rsid w:val="007A1E9F"/>
    <w:rsid w:val="007A3A36"/>
    <w:rsid w:val="007A7974"/>
    <w:rsid w:val="007B17E7"/>
    <w:rsid w:val="007B6083"/>
    <w:rsid w:val="007C2442"/>
    <w:rsid w:val="007C2D78"/>
    <w:rsid w:val="007C6611"/>
    <w:rsid w:val="007C6A53"/>
    <w:rsid w:val="007D0115"/>
    <w:rsid w:val="007D4362"/>
    <w:rsid w:val="007E44BC"/>
    <w:rsid w:val="007E463F"/>
    <w:rsid w:val="007E6CF2"/>
    <w:rsid w:val="007F18FD"/>
    <w:rsid w:val="007F35B6"/>
    <w:rsid w:val="00800F99"/>
    <w:rsid w:val="0080497E"/>
    <w:rsid w:val="008064DE"/>
    <w:rsid w:val="008079CD"/>
    <w:rsid w:val="0081006B"/>
    <w:rsid w:val="0081474A"/>
    <w:rsid w:val="0081618C"/>
    <w:rsid w:val="008203FE"/>
    <w:rsid w:val="00820D93"/>
    <w:rsid w:val="00826874"/>
    <w:rsid w:val="00827057"/>
    <w:rsid w:val="00831ED4"/>
    <w:rsid w:val="008356FF"/>
    <w:rsid w:val="0083572D"/>
    <w:rsid w:val="00835C4D"/>
    <w:rsid w:val="0083641B"/>
    <w:rsid w:val="00836BB5"/>
    <w:rsid w:val="00837D9F"/>
    <w:rsid w:val="008441D9"/>
    <w:rsid w:val="008444C7"/>
    <w:rsid w:val="00846A98"/>
    <w:rsid w:val="00847F15"/>
    <w:rsid w:val="00855C44"/>
    <w:rsid w:val="0085721A"/>
    <w:rsid w:val="00861A4E"/>
    <w:rsid w:val="00862CD9"/>
    <w:rsid w:val="00863D9D"/>
    <w:rsid w:val="00864259"/>
    <w:rsid w:val="00864DD1"/>
    <w:rsid w:val="00865081"/>
    <w:rsid w:val="0087061E"/>
    <w:rsid w:val="00871826"/>
    <w:rsid w:val="00874065"/>
    <w:rsid w:val="0087569C"/>
    <w:rsid w:val="0087643E"/>
    <w:rsid w:val="008806D3"/>
    <w:rsid w:val="00880983"/>
    <w:rsid w:val="00881509"/>
    <w:rsid w:val="00882746"/>
    <w:rsid w:val="008829AE"/>
    <w:rsid w:val="0088415F"/>
    <w:rsid w:val="008901D1"/>
    <w:rsid w:val="008943BC"/>
    <w:rsid w:val="00894B7E"/>
    <w:rsid w:val="0089775D"/>
    <w:rsid w:val="008A6611"/>
    <w:rsid w:val="008A7385"/>
    <w:rsid w:val="008B007E"/>
    <w:rsid w:val="008B0C58"/>
    <w:rsid w:val="008B2D10"/>
    <w:rsid w:val="008B3289"/>
    <w:rsid w:val="008B397B"/>
    <w:rsid w:val="008B3CC2"/>
    <w:rsid w:val="008C1E94"/>
    <w:rsid w:val="008C4A28"/>
    <w:rsid w:val="008C79A7"/>
    <w:rsid w:val="008D11E3"/>
    <w:rsid w:val="008D375A"/>
    <w:rsid w:val="008D519D"/>
    <w:rsid w:val="008D738E"/>
    <w:rsid w:val="008D7A95"/>
    <w:rsid w:val="008E38AA"/>
    <w:rsid w:val="008E56DC"/>
    <w:rsid w:val="008E6911"/>
    <w:rsid w:val="008F0A51"/>
    <w:rsid w:val="008F0C13"/>
    <w:rsid w:val="008F5F47"/>
    <w:rsid w:val="008F7A4E"/>
    <w:rsid w:val="009046AE"/>
    <w:rsid w:val="009077BD"/>
    <w:rsid w:val="00907841"/>
    <w:rsid w:val="0091021D"/>
    <w:rsid w:val="009115AA"/>
    <w:rsid w:val="00913F32"/>
    <w:rsid w:val="00915202"/>
    <w:rsid w:val="00917828"/>
    <w:rsid w:val="0092220B"/>
    <w:rsid w:val="00923093"/>
    <w:rsid w:val="009230FD"/>
    <w:rsid w:val="0092624D"/>
    <w:rsid w:val="009323EE"/>
    <w:rsid w:val="009333F6"/>
    <w:rsid w:val="00935330"/>
    <w:rsid w:val="0094188D"/>
    <w:rsid w:val="009425DA"/>
    <w:rsid w:val="009448C3"/>
    <w:rsid w:val="00946726"/>
    <w:rsid w:val="00950871"/>
    <w:rsid w:val="00951825"/>
    <w:rsid w:val="009533D3"/>
    <w:rsid w:val="00955554"/>
    <w:rsid w:val="009610CC"/>
    <w:rsid w:val="009641FD"/>
    <w:rsid w:val="009667F6"/>
    <w:rsid w:val="00967E58"/>
    <w:rsid w:val="00971A14"/>
    <w:rsid w:val="00972553"/>
    <w:rsid w:val="0097546F"/>
    <w:rsid w:val="00975F8B"/>
    <w:rsid w:val="00976000"/>
    <w:rsid w:val="009768C4"/>
    <w:rsid w:val="00980071"/>
    <w:rsid w:val="009834D8"/>
    <w:rsid w:val="00985594"/>
    <w:rsid w:val="00986702"/>
    <w:rsid w:val="00986EAA"/>
    <w:rsid w:val="009919D1"/>
    <w:rsid w:val="00995E4C"/>
    <w:rsid w:val="009964F9"/>
    <w:rsid w:val="0099699B"/>
    <w:rsid w:val="00996DBF"/>
    <w:rsid w:val="009A16D7"/>
    <w:rsid w:val="009A346A"/>
    <w:rsid w:val="009A3BF6"/>
    <w:rsid w:val="009A4728"/>
    <w:rsid w:val="009B24BA"/>
    <w:rsid w:val="009B2D6A"/>
    <w:rsid w:val="009B3CF5"/>
    <w:rsid w:val="009C20CA"/>
    <w:rsid w:val="009C23F2"/>
    <w:rsid w:val="009C2FF0"/>
    <w:rsid w:val="009C61DE"/>
    <w:rsid w:val="009C63B8"/>
    <w:rsid w:val="009C69E3"/>
    <w:rsid w:val="009C7AB3"/>
    <w:rsid w:val="009D2E17"/>
    <w:rsid w:val="009D31F9"/>
    <w:rsid w:val="009D5F29"/>
    <w:rsid w:val="009E0772"/>
    <w:rsid w:val="009E342F"/>
    <w:rsid w:val="009E45FD"/>
    <w:rsid w:val="009F4EBE"/>
    <w:rsid w:val="009F56F3"/>
    <w:rsid w:val="009F685C"/>
    <w:rsid w:val="009F7ACD"/>
    <w:rsid w:val="00A003A7"/>
    <w:rsid w:val="00A0425E"/>
    <w:rsid w:val="00A04889"/>
    <w:rsid w:val="00A04A57"/>
    <w:rsid w:val="00A0790C"/>
    <w:rsid w:val="00A108B2"/>
    <w:rsid w:val="00A14F11"/>
    <w:rsid w:val="00A16195"/>
    <w:rsid w:val="00A162AC"/>
    <w:rsid w:val="00A25DAE"/>
    <w:rsid w:val="00A36075"/>
    <w:rsid w:val="00A3704D"/>
    <w:rsid w:val="00A40535"/>
    <w:rsid w:val="00A41ACE"/>
    <w:rsid w:val="00A427E8"/>
    <w:rsid w:val="00A42C8A"/>
    <w:rsid w:val="00A45F26"/>
    <w:rsid w:val="00A5072A"/>
    <w:rsid w:val="00A529B4"/>
    <w:rsid w:val="00A5378B"/>
    <w:rsid w:val="00A5410F"/>
    <w:rsid w:val="00A618E9"/>
    <w:rsid w:val="00A61BAD"/>
    <w:rsid w:val="00A66D82"/>
    <w:rsid w:val="00A6713C"/>
    <w:rsid w:val="00A67284"/>
    <w:rsid w:val="00A67D48"/>
    <w:rsid w:val="00A67E7B"/>
    <w:rsid w:val="00A716AD"/>
    <w:rsid w:val="00A71EB3"/>
    <w:rsid w:val="00A72D0E"/>
    <w:rsid w:val="00A73AD5"/>
    <w:rsid w:val="00A74850"/>
    <w:rsid w:val="00A75573"/>
    <w:rsid w:val="00A7621A"/>
    <w:rsid w:val="00A77B33"/>
    <w:rsid w:val="00A8015A"/>
    <w:rsid w:val="00A804ED"/>
    <w:rsid w:val="00A809C4"/>
    <w:rsid w:val="00A81FE7"/>
    <w:rsid w:val="00A82DB6"/>
    <w:rsid w:val="00A84321"/>
    <w:rsid w:val="00A87C42"/>
    <w:rsid w:val="00A91446"/>
    <w:rsid w:val="00A92A83"/>
    <w:rsid w:val="00A95740"/>
    <w:rsid w:val="00AA4778"/>
    <w:rsid w:val="00AA5407"/>
    <w:rsid w:val="00AA5BB2"/>
    <w:rsid w:val="00AA69F3"/>
    <w:rsid w:val="00AA6BE3"/>
    <w:rsid w:val="00AA7921"/>
    <w:rsid w:val="00AB007A"/>
    <w:rsid w:val="00AB0ABC"/>
    <w:rsid w:val="00AB4349"/>
    <w:rsid w:val="00AB6A89"/>
    <w:rsid w:val="00AB6D53"/>
    <w:rsid w:val="00AB7875"/>
    <w:rsid w:val="00AC080A"/>
    <w:rsid w:val="00AC0AAB"/>
    <w:rsid w:val="00AC15B9"/>
    <w:rsid w:val="00AD3B0B"/>
    <w:rsid w:val="00AD42A3"/>
    <w:rsid w:val="00AD5038"/>
    <w:rsid w:val="00AD70E2"/>
    <w:rsid w:val="00AD7C5B"/>
    <w:rsid w:val="00AE0094"/>
    <w:rsid w:val="00AE0280"/>
    <w:rsid w:val="00AE10E4"/>
    <w:rsid w:val="00AE7445"/>
    <w:rsid w:val="00AF0E00"/>
    <w:rsid w:val="00AF1582"/>
    <w:rsid w:val="00AF2F1F"/>
    <w:rsid w:val="00AF36D2"/>
    <w:rsid w:val="00AF6281"/>
    <w:rsid w:val="00B000FE"/>
    <w:rsid w:val="00B002B0"/>
    <w:rsid w:val="00B0073E"/>
    <w:rsid w:val="00B02244"/>
    <w:rsid w:val="00B02359"/>
    <w:rsid w:val="00B1003A"/>
    <w:rsid w:val="00B12219"/>
    <w:rsid w:val="00B2297D"/>
    <w:rsid w:val="00B233FA"/>
    <w:rsid w:val="00B30679"/>
    <w:rsid w:val="00B40B24"/>
    <w:rsid w:val="00B4579D"/>
    <w:rsid w:val="00B50C22"/>
    <w:rsid w:val="00B519BC"/>
    <w:rsid w:val="00B51DAC"/>
    <w:rsid w:val="00B52CA9"/>
    <w:rsid w:val="00B53D6B"/>
    <w:rsid w:val="00B5687F"/>
    <w:rsid w:val="00B6152C"/>
    <w:rsid w:val="00B61D31"/>
    <w:rsid w:val="00B621D8"/>
    <w:rsid w:val="00B83C94"/>
    <w:rsid w:val="00B87641"/>
    <w:rsid w:val="00B917BC"/>
    <w:rsid w:val="00B94041"/>
    <w:rsid w:val="00B976E4"/>
    <w:rsid w:val="00BA15DF"/>
    <w:rsid w:val="00BA7E4C"/>
    <w:rsid w:val="00BB0591"/>
    <w:rsid w:val="00BB09EA"/>
    <w:rsid w:val="00BB0D68"/>
    <w:rsid w:val="00BB191A"/>
    <w:rsid w:val="00BC1167"/>
    <w:rsid w:val="00BC539B"/>
    <w:rsid w:val="00BD0DA4"/>
    <w:rsid w:val="00BD12B0"/>
    <w:rsid w:val="00BD1316"/>
    <w:rsid w:val="00BD17DD"/>
    <w:rsid w:val="00BD1981"/>
    <w:rsid w:val="00BD25E6"/>
    <w:rsid w:val="00BD4077"/>
    <w:rsid w:val="00BD4B9A"/>
    <w:rsid w:val="00BE19A7"/>
    <w:rsid w:val="00BE2164"/>
    <w:rsid w:val="00BE2277"/>
    <w:rsid w:val="00BE623D"/>
    <w:rsid w:val="00BE6BDD"/>
    <w:rsid w:val="00BF1553"/>
    <w:rsid w:val="00BF2FBC"/>
    <w:rsid w:val="00BF3DE2"/>
    <w:rsid w:val="00BF5FC0"/>
    <w:rsid w:val="00BF7AD0"/>
    <w:rsid w:val="00C02239"/>
    <w:rsid w:val="00C03287"/>
    <w:rsid w:val="00C03C40"/>
    <w:rsid w:val="00C046F9"/>
    <w:rsid w:val="00C065F3"/>
    <w:rsid w:val="00C130B9"/>
    <w:rsid w:val="00C14F8E"/>
    <w:rsid w:val="00C173C1"/>
    <w:rsid w:val="00C20B9E"/>
    <w:rsid w:val="00C22D53"/>
    <w:rsid w:val="00C34B6E"/>
    <w:rsid w:val="00C34C25"/>
    <w:rsid w:val="00C35F7A"/>
    <w:rsid w:val="00C37BA0"/>
    <w:rsid w:val="00C4299B"/>
    <w:rsid w:val="00C44C45"/>
    <w:rsid w:val="00C4535F"/>
    <w:rsid w:val="00C454F6"/>
    <w:rsid w:val="00C45A62"/>
    <w:rsid w:val="00C4674F"/>
    <w:rsid w:val="00C47338"/>
    <w:rsid w:val="00C477C7"/>
    <w:rsid w:val="00C50E31"/>
    <w:rsid w:val="00C53C30"/>
    <w:rsid w:val="00C53FCE"/>
    <w:rsid w:val="00C578C0"/>
    <w:rsid w:val="00C6180E"/>
    <w:rsid w:val="00C6444F"/>
    <w:rsid w:val="00C70FCE"/>
    <w:rsid w:val="00C71972"/>
    <w:rsid w:val="00C721DC"/>
    <w:rsid w:val="00C7497F"/>
    <w:rsid w:val="00C74996"/>
    <w:rsid w:val="00C75EAD"/>
    <w:rsid w:val="00C767CC"/>
    <w:rsid w:val="00C76D91"/>
    <w:rsid w:val="00C77FAA"/>
    <w:rsid w:val="00C803B9"/>
    <w:rsid w:val="00C81327"/>
    <w:rsid w:val="00C8132B"/>
    <w:rsid w:val="00C81434"/>
    <w:rsid w:val="00C829EC"/>
    <w:rsid w:val="00C82E01"/>
    <w:rsid w:val="00C84481"/>
    <w:rsid w:val="00C86C96"/>
    <w:rsid w:val="00C911FC"/>
    <w:rsid w:val="00C91378"/>
    <w:rsid w:val="00C9510C"/>
    <w:rsid w:val="00CA0471"/>
    <w:rsid w:val="00CA1833"/>
    <w:rsid w:val="00CA388E"/>
    <w:rsid w:val="00CA6504"/>
    <w:rsid w:val="00CA68C0"/>
    <w:rsid w:val="00CA789A"/>
    <w:rsid w:val="00CB2A4B"/>
    <w:rsid w:val="00CB6F34"/>
    <w:rsid w:val="00CB7002"/>
    <w:rsid w:val="00CC31B2"/>
    <w:rsid w:val="00CC4E9C"/>
    <w:rsid w:val="00CC61EA"/>
    <w:rsid w:val="00CC6C19"/>
    <w:rsid w:val="00CC71CC"/>
    <w:rsid w:val="00CC7BCB"/>
    <w:rsid w:val="00CD421C"/>
    <w:rsid w:val="00CD5450"/>
    <w:rsid w:val="00CE01AD"/>
    <w:rsid w:val="00CE0A90"/>
    <w:rsid w:val="00CE1C6E"/>
    <w:rsid w:val="00CE61B9"/>
    <w:rsid w:val="00CE6C25"/>
    <w:rsid w:val="00CF13CE"/>
    <w:rsid w:val="00CF6396"/>
    <w:rsid w:val="00CF7F52"/>
    <w:rsid w:val="00D0113C"/>
    <w:rsid w:val="00D13EAD"/>
    <w:rsid w:val="00D176A7"/>
    <w:rsid w:val="00D2037C"/>
    <w:rsid w:val="00D2097E"/>
    <w:rsid w:val="00D223AD"/>
    <w:rsid w:val="00D2326F"/>
    <w:rsid w:val="00D2367E"/>
    <w:rsid w:val="00D23813"/>
    <w:rsid w:val="00D248D1"/>
    <w:rsid w:val="00D249AC"/>
    <w:rsid w:val="00D26F50"/>
    <w:rsid w:val="00D3092F"/>
    <w:rsid w:val="00D35087"/>
    <w:rsid w:val="00D36E01"/>
    <w:rsid w:val="00D37558"/>
    <w:rsid w:val="00D43429"/>
    <w:rsid w:val="00D442FF"/>
    <w:rsid w:val="00D454BA"/>
    <w:rsid w:val="00D45C13"/>
    <w:rsid w:val="00D4654B"/>
    <w:rsid w:val="00D46D27"/>
    <w:rsid w:val="00D47872"/>
    <w:rsid w:val="00D5135A"/>
    <w:rsid w:val="00D5171D"/>
    <w:rsid w:val="00D51977"/>
    <w:rsid w:val="00D54502"/>
    <w:rsid w:val="00D61817"/>
    <w:rsid w:val="00D6555A"/>
    <w:rsid w:val="00D65E2D"/>
    <w:rsid w:val="00D6712E"/>
    <w:rsid w:val="00D67BFE"/>
    <w:rsid w:val="00D70429"/>
    <w:rsid w:val="00D70BB3"/>
    <w:rsid w:val="00D71A1B"/>
    <w:rsid w:val="00D71CFF"/>
    <w:rsid w:val="00D73353"/>
    <w:rsid w:val="00D761ED"/>
    <w:rsid w:val="00D83044"/>
    <w:rsid w:val="00D83E1F"/>
    <w:rsid w:val="00D85614"/>
    <w:rsid w:val="00D85D90"/>
    <w:rsid w:val="00D861EF"/>
    <w:rsid w:val="00D90C4C"/>
    <w:rsid w:val="00D91121"/>
    <w:rsid w:val="00D91A04"/>
    <w:rsid w:val="00DA0078"/>
    <w:rsid w:val="00DA3DC7"/>
    <w:rsid w:val="00DA518F"/>
    <w:rsid w:val="00DA5F3B"/>
    <w:rsid w:val="00DB6234"/>
    <w:rsid w:val="00DB69F2"/>
    <w:rsid w:val="00DC016F"/>
    <w:rsid w:val="00DC14B8"/>
    <w:rsid w:val="00DC2393"/>
    <w:rsid w:val="00DC2A17"/>
    <w:rsid w:val="00DC4FB3"/>
    <w:rsid w:val="00DC562F"/>
    <w:rsid w:val="00DC7B2F"/>
    <w:rsid w:val="00DD3046"/>
    <w:rsid w:val="00DD4184"/>
    <w:rsid w:val="00DD78EA"/>
    <w:rsid w:val="00DE2CB4"/>
    <w:rsid w:val="00DE6382"/>
    <w:rsid w:val="00DF15D1"/>
    <w:rsid w:val="00DF379F"/>
    <w:rsid w:val="00DF6D10"/>
    <w:rsid w:val="00E014E4"/>
    <w:rsid w:val="00E04AB6"/>
    <w:rsid w:val="00E04D78"/>
    <w:rsid w:val="00E055B0"/>
    <w:rsid w:val="00E0560F"/>
    <w:rsid w:val="00E05A15"/>
    <w:rsid w:val="00E06333"/>
    <w:rsid w:val="00E0645E"/>
    <w:rsid w:val="00E06DE2"/>
    <w:rsid w:val="00E07FBA"/>
    <w:rsid w:val="00E104C0"/>
    <w:rsid w:val="00E118D3"/>
    <w:rsid w:val="00E143F2"/>
    <w:rsid w:val="00E14A91"/>
    <w:rsid w:val="00E15B6F"/>
    <w:rsid w:val="00E16962"/>
    <w:rsid w:val="00E224B7"/>
    <w:rsid w:val="00E23104"/>
    <w:rsid w:val="00E231B4"/>
    <w:rsid w:val="00E247CD"/>
    <w:rsid w:val="00E26AC3"/>
    <w:rsid w:val="00E27843"/>
    <w:rsid w:val="00E32F8D"/>
    <w:rsid w:val="00E35F6D"/>
    <w:rsid w:val="00E3716D"/>
    <w:rsid w:val="00E3770B"/>
    <w:rsid w:val="00E4034F"/>
    <w:rsid w:val="00E43E24"/>
    <w:rsid w:val="00E50287"/>
    <w:rsid w:val="00E53AD6"/>
    <w:rsid w:val="00E55775"/>
    <w:rsid w:val="00E6280D"/>
    <w:rsid w:val="00E6551F"/>
    <w:rsid w:val="00E670E4"/>
    <w:rsid w:val="00E718D8"/>
    <w:rsid w:val="00E72262"/>
    <w:rsid w:val="00E7494B"/>
    <w:rsid w:val="00E752AC"/>
    <w:rsid w:val="00E803DA"/>
    <w:rsid w:val="00E817D2"/>
    <w:rsid w:val="00E82D45"/>
    <w:rsid w:val="00EA089B"/>
    <w:rsid w:val="00EA12A2"/>
    <w:rsid w:val="00EA2F3B"/>
    <w:rsid w:val="00EA3D12"/>
    <w:rsid w:val="00EA496F"/>
    <w:rsid w:val="00EA797B"/>
    <w:rsid w:val="00EB0182"/>
    <w:rsid w:val="00EB286A"/>
    <w:rsid w:val="00EB48B5"/>
    <w:rsid w:val="00EB6458"/>
    <w:rsid w:val="00EC2587"/>
    <w:rsid w:val="00EC318D"/>
    <w:rsid w:val="00ED0E73"/>
    <w:rsid w:val="00ED17FB"/>
    <w:rsid w:val="00ED4A26"/>
    <w:rsid w:val="00ED729E"/>
    <w:rsid w:val="00ED7F2A"/>
    <w:rsid w:val="00EE0146"/>
    <w:rsid w:val="00EE2D3A"/>
    <w:rsid w:val="00EF1F16"/>
    <w:rsid w:val="00EF71D1"/>
    <w:rsid w:val="00F031FF"/>
    <w:rsid w:val="00F0620C"/>
    <w:rsid w:val="00F221AA"/>
    <w:rsid w:val="00F2289C"/>
    <w:rsid w:val="00F25298"/>
    <w:rsid w:val="00F25E45"/>
    <w:rsid w:val="00F266F5"/>
    <w:rsid w:val="00F270B1"/>
    <w:rsid w:val="00F30587"/>
    <w:rsid w:val="00F30B9A"/>
    <w:rsid w:val="00F30D32"/>
    <w:rsid w:val="00F31F0E"/>
    <w:rsid w:val="00F32F70"/>
    <w:rsid w:val="00F354B9"/>
    <w:rsid w:val="00F35CE7"/>
    <w:rsid w:val="00F40B22"/>
    <w:rsid w:val="00F421D4"/>
    <w:rsid w:val="00F43846"/>
    <w:rsid w:val="00F43890"/>
    <w:rsid w:val="00F44215"/>
    <w:rsid w:val="00F522AD"/>
    <w:rsid w:val="00F5450A"/>
    <w:rsid w:val="00F576FA"/>
    <w:rsid w:val="00F62907"/>
    <w:rsid w:val="00F66A4B"/>
    <w:rsid w:val="00F6737C"/>
    <w:rsid w:val="00F70022"/>
    <w:rsid w:val="00F70454"/>
    <w:rsid w:val="00F71E59"/>
    <w:rsid w:val="00F7479D"/>
    <w:rsid w:val="00F775D1"/>
    <w:rsid w:val="00F776F7"/>
    <w:rsid w:val="00F82C24"/>
    <w:rsid w:val="00F86BFF"/>
    <w:rsid w:val="00F923DB"/>
    <w:rsid w:val="00F9341E"/>
    <w:rsid w:val="00F9544F"/>
    <w:rsid w:val="00F9794D"/>
    <w:rsid w:val="00FA0583"/>
    <w:rsid w:val="00FA2EFE"/>
    <w:rsid w:val="00FA3498"/>
    <w:rsid w:val="00FA7759"/>
    <w:rsid w:val="00FB0770"/>
    <w:rsid w:val="00FB0C60"/>
    <w:rsid w:val="00FB1B0B"/>
    <w:rsid w:val="00FB295A"/>
    <w:rsid w:val="00FB783C"/>
    <w:rsid w:val="00FC4B47"/>
    <w:rsid w:val="00FC4D45"/>
    <w:rsid w:val="00FC527D"/>
    <w:rsid w:val="00FC7BB9"/>
    <w:rsid w:val="00FD0327"/>
    <w:rsid w:val="00FD1C45"/>
    <w:rsid w:val="00FD1F61"/>
    <w:rsid w:val="00FE0B07"/>
    <w:rsid w:val="00FE2AEB"/>
    <w:rsid w:val="00FF07C4"/>
    <w:rsid w:val="00FF22EE"/>
    <w:rsid w:val="00FF3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D6001E"/>
  <w15:docId w15:val="{244A156B-53E0-401F-B577-A5E52ED2A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3AD"/>
    <w:pPr>
      <w:spacing w:after="0" w:line="240" w:lineRule="auto"/>
      <w:ind w:left="432" w:hanging="432"/>
      <w:jc w:val="both"/>
    </w:pPr>
    <w:rPr>
      <w:rFonts w:ascii="Verdana" w:eastAsia="Times New Roman" w:hAnsi="Verdana" w:cs="Times New Roman"/>
      <w:szCs w:val="20"/>
      <w:lang w:eastAsia="en-GB"/>
    </w:rPr>
  </w:style>
  <w:style w:type="paragraph" w:styleId="Heading1">
    <w:name w:val="heading 1"/>
    <w:basedOn w:val="Normal"/>
    <w:next w:val="Normal"/>
    <w:link w:val="Heading1Char"/>
    <w:qFormat/>
    <w:rsid w:val="00D223AD"/>
    <w:pPr>
      <w:keepNext/>
      <w:widowControl w:val="0"/>
      <w:spacing w:before="480" w:after="60"/>
      <w:outlineLvl w:val="0"/>
    </w:pPr>
    <w:rPr>
      <w:color w:val="808080"/>
      <w:kern w:val="28"/>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23AD"/>
    <w:rPr>
      <w:rFonts w:ascii="Verdana" w:eastAsia="Times New Roman" w:hAnsi="Verdana" w:cs="Times New Roman"/>
      <w:color w:val="808080"/>
      <w:kern w:val="28"/>
      <w:sz w:val="72"/>
      <w:szCs w:val="20"/>
      <w:lang w:eastAsia="en-GB"/>
    </w:rPr>
  </w:style>
  <w:style w:type="paragraph" w:styleId="Header">
    <w:name w:val="header"/>
    <w:basedOn w:val="Normal"/>
    <w:link w:val="HeaderChar"/>
    <w:uiPriority w:val="99"/>
    <w:unhideWhenUsed/>
    <w:rsid w:val="00F82C24"/>
    <w:pPr>
      <w:tabs>
        <w:tab w:val="center" w:pos="4513"/>
        <w:tab w:val="right" w:pos="9026"/>
      </w:tabs>
    </w:pPr>
  </w:style>
  <w:style w:type="character" w:customStyle="1" w:styleId="HeaderChar">
    <w:name w:val="Header Char"/>
    <w:basedOn w:val="DefaultParagraphFont"/>
    <w:link w:val="Header"/>
    <w:uiPriority w:val="99"/>
    <w:rsid w:val="00F82C24"/>
    <w:rPr>
      <w:rFonts w:ascii="Verdana" w:eastAsia="Times New Roman" w:hAnsi="Verdana" w:cs="Times New Roman"/>
      <w:szCs w:val="20"/>
      <w:lang w:eastAsia="en-GB"/>
    </w:rPr>
  </w:style>
  <w:style w:type="paragraph" w:styleId="Footer">
    <w:name w:val="footer"/>
    <w:basedOn w:val="Normal"/>
    <w:link w:val="FooterChar"/>
    <w:uiPriority w:val="99"/>
    <w:unhideWhenUsed/>
    <w:rsid w:val="00F82C24"/>
    <w:pPr>
      <w:tabs>
        <w:tab w:val="center" w:pos="4513"/>
        <w:tab w:val="right" w:pos="9026"/>
      </w:tabs>
    </w:pPr>
  </w:style>
  <w:style w:type="character" w:customStyle="1" w:styleId="FooterChar">
    <w:name w:val="Footer Char"/>
    <w:basedOn w:val="DefaultParagraphFont"/>
    <w:link w:val="Footer"/>
    <w:uiPriority w:val="99"/>
    <w:rsid w:val="00F82C24"/>
    <w:rPr>
      <w:rFonts w:ascii="Verdana" w:eastAsia="Times New Roman" w:hAnsi="Verdana" w:cs="Times New Roman"/>
      <w:szCs w:val="20"/>
      <w:lang w:eastAsia="en-GB"/>
    </w:rPr>
  </w:style>
  <w:style w:type="table" w:styleId="TableGrid">
    <w:name w:val="Table Grid"/>
    <w:basedOn w:val="TableNormal"/>
    <w:uiPriority w:val="39"/>
    <w:rsid w:val="00855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5554"/>
    <w:pPr>
      <w:ind w:left="720"/>
      <w:contextualSpacing/>
    </w:pPr>
  </w:style>
  <w:style w:type="paragraph" w:styleId="BalloonText">
    <w:name w:val="Balloon Text"/>
    <w:basedOn w:val="Normal"/>
    <w:link w:val="BalloonTextChar"/>
    <w:uiPriority w:val="99"/>
    <w:semiHidden/>
    <w:unhideWhenUsed/>
    <w:rsid w:val="009555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554"/>
    <w:rPr>
      <w:rFonts w:ascii="Segoe UI" w:eastAsia="Times New Roman" w:hAnsi="Segoe UI" w:cs="Segoe UI"/>
      <w:sz w:val="18"/>
      <w:szCs w:val="18"/>
      <w:lang w:eastAsia="en-GB"/>
    </w:rPr>
  </w:style>
  <w:style w:type="paragraph" w:customStyle="1" w:styleId="Default">
    <w:name w:val="Default"/>
    <w:rsid w:val="002F1C07"/>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F031FF"/>
    <w:rPr>
      <w:sz w:val="20"/>
    </w:rPr>
  </w:style>
  <w:style w:type="character" w:customStyle="1" w:styleId="FootnoteTextChar">
    <w:name w:val="Footnote Text Char"/>
    <w:basedOn w:val="DefaultParagraphFont"/>
    <w:link w:val="FootnoteText"/>
    <w:uiPriority w:val="99"/>
    <w:semiHidden/>
    <w:rsid w:val="00F031FF"/>
    <w:rPr>
      <w:rFonts w:ascii="Verdana" w:eastAsia="Times New Roman" w:hAnsi="Verdana" w:cs="Times New Roman"/>
      <w:sz w:val="20"/>
      <w:szCs w:val="20"/>
      <w:lang w:eastAsia="en-GB"/>
    </w:rPr>
  </w:style>
  <w:style w:type="character" w:styleId="FootnoteReference">
    <w:name w:val="footnote reference"/>
    <w:basedOn w:val="DefaultParagraphFont"/>
    <w:uiPriority w:val="99"/>
    <w:semiHidden/>
    <w:unhideWhenUsed/>
    <w:rsid w:val="00F031FF"/>
    <w:rPr>
      <w:vertAlign w:val="superscript"/>
    </w:rPr>
  </w:style>
  <w:style w:type="character" w:styleId="CommentReference">
    <w:name w:val="annotation reference"/>
    <w:basedOn w:val="DefaultParagraphFont"/>
    <w:uiPriority w:val="99"/>
    <w:semiHidden/>
    <w:unhideWhenUsed/>
    <w:rsid w:val="00F031FF"/>
    <w:rPr>
      <w:sz w:val="16"/>
      <w:szCs w:val="16"/>
    </w:rPr>
  </w:style>
  <w:style w:type="paragraph" w:styleId="CommentText">
    <w:name w:val="annotation text"/>
    <w:basedOn w:val="Normal"/>
    <w:link w:val="CommentTextChar"/>
    <w:uiPriority w:val="99"/>
    <w:unhideWhenUsed/>
    <w:rsid w:val="00F031FF"/>
    <w:rPr>
      <w:sz w:val="20"/>
    </w:rPr>
  </w:style>
  <w:style w:type="character" w:customStyle="1" w:styleId="CommentTextChar">
    <w:name w:val="Comment Text Char"/>
    <w:basedOn w:val="DefaultParagraphFont"/>
    <w:link w:val="CommentText"/>
    <w:uiPriority w:val="99"/>
    <w:rsid w:val="00F031FF"/>
    <w:rPr>
      <w:rFonts w:ascii="Verdana" w:eastAsia="Times New Roman" w:hAnsi="Verdan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031FF"/>
    <w:rPr>
      <w:b/>
      <w:bCs/>
    </w:rPr>
  </w:style>
  <w:style w:type="character" w:customStyle="1" w:styleId="CommentSubjectChar">
    <w:name w:val="Comment Subject Char"/>
    <w:basedOn w:val="CommentTextChar"/>
    <w:link w:val="CommentSubject"/>
    <w:uiPriority w:val="99"/>
    <w:semiHidden/>
    <w:rsid w:val="00F031FF"/>
    <w:rPr>
      <w:rFonts w:ascii="Verdana" w:eastAsia="Times New Roman" w:hAnsi="Verdana" w:cs="Times New Roman"/>
      <w:b/>
      <w:bCs/>
      <w:sz w:val="20"/>
      <w:szCs w:val="20"/>
      <w:lang w:eastAsia="en-GB"/>
    </w:rPr>
  </w:style>
  <w:style w:type="paragraph" w:styleId="Revision">
    <w:name w:val="Revision"/>
    <w:hidden/>
    <w:uiPriority w:val="99"/>
    <w:semiHidden/>
    <w:rsid w:val="00735E60"/>
    <w:pPr>
      <w:spacing w:after="0" w:line="240" w:lineRule="auto"/>
    </w:pPr>
    <w:rPr>
      <w:rFonts w:ascii="Verdana" w:eastAsia="Times New Roman" w:hAnsi="Verdana" w:cs="Times New Roman"/>
      <w:szCs w:val="20"/>
      <w:lang w:eastAsia="en-GB"/>
    </w:rPr>
  </w:style>
  <w:style w:type="character" w:styleId="Hyperlink">
    <w:name w:val="Hyperlink"/>
    <w:basedOn w:val="DefaultParagraphFont"/>
    <w:uiPriority w:val="99"/>
    <w:unhideWhenUsed/>
    <w:rsid w:val="00FE0B07"/>
    <w:rPr>
      <w:color w:val="0563C1" w:themeColor="hyperlink"/>
      <w:u w:val="single"/>
    </w:rPr>
  </w:style>
  <w:style w:type="character" w:styleId="UnresolvedMention">
    <w:name w:val="Unresolved Mention"/>
    <w:basedOn w:val="DefaultParagraphFont"/>
    <w:uiPriority w:val="99"/>
    <w:semiHidden/>
    <w:unhideWhenUsed/>
    <w:rsid w:val="00FE0B07"/>
    <w:rPr>
      <w:color w:val="605E5C"/>
      <w:shd w:val="clear" w:color="auto" w:fill="E1DFDD"/>
    </w:rPr>
  </w:style>
  <w:style w:type="paragraph" w:styleId="NoSpacing">
    <w:name w:val="No Spacing"/>
    <w:uiPriority w:val="1"/>
    <w:qFormat/>
    <w:rsid w:val="00461C38"/>
    <w:pPr>
      <w:spacing w:after="0" w:line="240" w:lineRule="auto"/>
      <w:ind w:left="432" w:hanging="432"/>
      <w:jc w:val="both"/>
    </w:pPr>
    <w:rPr>
      <w:rFonts w:ascii="Verdana" w:eastAsia="Times New Roman" w:hAnsi="Verdana" w:cs="Times New Roman"/>
      <w:szCs w:val="20"/>
      <w:lang w:eastAsia="en-GB"/>
    </w:rPr>
  </w:style>
  <w:style w:type="paragraph" w:styleId="EndnoteText">
    <w:name w:val="endnote text"/>
    <w:basedOn w:val="Normal"/>
    <w:link w:val="EndnoteTextChar"/>
    <w:uiPriority w:val="99"/>
    <w:semiHidden/>
    <w:unhideWhenUsed/>
    <w:rsid w:val="006057DF"/>
    <w:rPr>
      <w:sz w:val="20"/>
    </w:rPr>
  </w:style>
  <w:style w:type="character" w:customStyle="1" w:styleId="EndnoteTextChar">
    <w:name w:val="Endnote Text Char"/>
    <w:basedOn w:val="DefaultParagraphFont"/>
    <w:link w:val="EndnoteText"/>
    <w:uiPriority w:val="99"/>
    <w:semiHidden/>
    <w:rsid w:val="006057DF"/>
    <w:rPr>
      <w:rFonts w:ascii="Verdana" w:eastAsia="Times New Roman" w:hAnsi="Verdana" w:cs="Times New Roman"/>
      <w:sz w:val="20"/>
      <w:szCs w:val="20"/>
      <w:lang w:eastAsia="en-GB"/>
    </w:rPr>
  </w:style>
  <w:style w:type="character" w:styleId="EndnoteReference">
    <w:name w:val="endnote reference"/>
    <w:basedOn w:val="DefaultParagraphFont"/>
    <w:uiPriority w:val="99"/>
    <w:semiHidden/>
    <w:unhideWhenUsed/>
    <w:rsid w:val="006057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754524">
      <w:bodyDiv w:val="1"/>
      <w:marLeft w:val="0"/>
      <w:marRight w:val="0"/>
      <w:marTop w:val="0"/>
      <w:marBottom w:val="0"/>
      <w:divBdr>
        <w:top w:val="none" w:sz="0" w:space="0" w:color="auto"/>
        <w:left w:val="none" w:sz="0" w:space="0" w:color="auto"/>
        <w:bottom w:val="none" w:sz="0" w:space="0" w:color="auto"/>
        <w:right w:val="none" w:sz="0" w:space="0" w:color="auto"/>
      </w:divBdr>
    </w:div>
    <w:div w:id="798111523">
      <w:bodyDiv w:val="1"/>
      <w:marLeft w:val="0"/>
      <w:marRight w:val="0"/>
      <w:marTop w:val="0"/>
      <w:marBottom w:val="0"/>
      <w:divBdr>
        <w:top w:val="none" w:sz="0" w:space="0" w:color="auto"/>
        <w:left w:val="none" w:sz="0" w:space="0" w:color="auto"/>
        <w:bottom w:val="none" w:sz="0" w:space="0" w:color="auto"/>
        <w:right w:val="none" w:sz="0" w:space="0" w:color="auto"/>
      </w:divBdr>
      <w:divsChild>
        <w:div w:id="1761294871">
          <w:marLeft w:val="0"/>
          <w:marRight w:val="0"/>
          <w:marTop w:val="0"/>
          <w:marBottom w:val="0"/>
          <w:divBdr>
            <w:top w:val="none" w:sz="0" w:space="0" w:color="auto"/>
            <w:left w:val="none" w:sz="0" w:space="0" w:color="auto"/>
            <w:bottom w:val="none" w:sz="0" w:space="0" w:color="auto"/>
            <w:right w:val="none" w:sz="0" w:space="0" w:color="auto"/>
          </w:divBdr>
          <w:divsChild>
            <w:div w:id="1615748405">
              <w:marLeft w:val="0"/>
              <w:marRight w:val="0"/>
              <w:marTop w:val="0"/>
              <w:marBottom w:val="0"/>
              <w:divBdr>
                <w:top w:val="none" w:sz="0" w:space="0" w:color="auto"/>
                <w:left w:val="none" w:sz="0" w:space="0" w:color="auto"/>
                <w:bottom w:val="none" w:sz="0" w:space="0" w:color="auto"/>
                <w:right w:val="none" w:sz="0" w:space="0" w:color="auto"/>
              </w:divBdr>
              <w:divsChild>
                <w:div w:id="112901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467623">
      <w:bodyDiv w:val="1"/>
      <w:marLeft w:val="0"/>
      <w:marRight w:val="0"/>
      <w:marTop w:val="0"/>
      <w:marBottom w:val="0"/>
      <w:divBdr>
        <w:top w:val="none" w:sz="0" w:space="0" w:color="auto"/>
        <w:left w:val="none" w:sz="0" w:space="0" w:color="auto"/>
        <w:bottom w:val="none" w:sz="0" w:space="0" w:color="auto"/>
        <w:right w:val="none" w:sz="0" w:space="0" w:color="auto"/>
      </w:divBdr>
      <w:divsChild>
        <w:div w:id="481120043">
          <w:marLeft w:val="0"/>
          <w:marRight w:val="0"/>
          <w:marTop w:val="0"/>
          <w:marBottom w:val="0"/>
          <w:divBdr>
            <w:top w:val="none" w:sz="0" w:space="0" w:color="auto"/>
            <w:left w:val="none" w:sz="0" w:space="0" w:color="auto"/>
            <w:bottom w:val="none" w:sz="0" w:space="0" w:color="auto"/>
            <w:right w:val="none" w:sz="0" w:space="0" w:color="auto"/>
          </w:divBdr>
          <w:divsChild>
            <w:div w:id="1482111851">
              <w:marLeft w:val="0"/>
              <w:marRight w:val="0"/>
              <w:marTop w:val="0"/>
              <w:marBottom w:val="0"/>
              <w:divBdr>
                <w:top w:val="none" w:sz="0" w:space="0" w:color="auto"/>
                <w:left w:val="none" w:sz="0" w:space="0" w:color="auto"/>
                <w:bottom w:val="none" w:sz="0" w:space="0" w:color="auto"/>
                <w:right w:val="none" w:sz="0" w:space="0" w:color="auto"/>
              </w:divBdr>
              <w:divsChild>
                <w:div w:id="11019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fitzwest.org/aboutus/constitution/" TargetMode="External"/><Relationship Id="rId2" Type="http://schemas.openxmlformats.org/officeDocument/2006/relationships/hyperlink" Target="https://www.westminster.gov.uk/planning-building-and-environmental-regulations/city-plan-neighbourhood-planning-and-planning-policy/fitzrovia-west-neighbourhood-plan" TargetMode="External"/><Relationship Id="rId1" Type="http://schemas.openxmlformats.org/officeDocument/2006/relationships/hyperlink" Target="https://www.london.gov.uk/sites/default/files/letter_from_sos_mhclg_london_plan_29_jan_21.pdf" TargetMode="External"/><Relationship Id="rId5" Type="http://schemas.openxmlformats.org/officeDocument/2006/relationships/hyperlink" Target="https://www.westminster.gov.uk/planning-building-and-environmental-regulations/city-plan-neighbourhood-planning-and-planning-policy/fitzrovia-west-neighbourhood-plan" TargetMode="External"/><Relationship Id="rId4" Type="http://schemas.openxmlformats.org/officeDocument/2006/relationships/hyperlink" Target="https://osd.lond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9E5979A593F44DA37581000396A3C8" ma:contentTypeVersion="12" ma:contentTypeDescription="Create a new document." ma:contentTypeScope="" ma:versionID="3fbcfd4286da5749b1d1dfb39e008258">
  <xsd:schema xmlns:xsd="http://www.w3.org/2001/XMLSchema" xmlns:xs="http://www.w3.org/2001/XMLSchema" xmlns:p="http://schemas.microsoft.com/office/2006/metadata/properties" xmlns:ns2="a18a8959-edca-41f4-9336-f219ee7f4e1f" xmlns:ns3="940c452e-8e4f-4c6e-a08a-e9fa73aab08f" targetNamespace="http://schemas.microsoft.com/office/2006/metadata/properties" ma:root="true" ma:fieldsID="0e0f9678d10c6ed999e77ff920fc92f1" ns2:_="" ns3:_="">
    <xsd:import namespace="a18a8959-edca-41f4-9336-f219ee7f4e1f"/>
    <xsd:import namespace="940c452e-8e4f-4c6e-a08a-e9fa73aab0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8a8959-edca-41f4-9336-f219ee7f4e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0c452e-8e4f-4c6e-a08a-e9fa73aab08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31284-7F6E-440E-8A8D-09BF8734BCF9}">
  <ds:schemaRefs>
    <ds:schemaRef ds:uri="http://schemas.microsoft.com/sharepoint/v3/contenttype/forms"/>
  </ds:schemaRefs>
</ds:datastoreItem>
</file>

<file path=customXml/itemProps2.xml><?xml version="1.0" encoding="utf-8"?>
<ds:datastoreItem xmlns:ds="http://schemas.openxmlformats.org/officeDocument/2006/customXml" ds:itemID="{3F8AAAEE-1C9D-4B13-BD0D-30B86067A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8a8959-edca-41f4-9336-f219ee7f4e1f"/>
    <ds:schemaRef ds:uri="940c452e-8e4f-4c6e-a08a-e9fa73aab0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7AE1FA-81BC-41BF-AA17-DC5388F5345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5331F7-8BAA-410B-AE68-030441070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9225</Words>
  <Characters>52587</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61689</CharactersWithSpaces>
  <SharedDoc>false</SharedDoc>
  <HLinks>
    <vt:vector size="18" baseType="variant">
      <vt:variant>
        <vt:i4>7471215</vt:i4>
      </vt:variant>
      <vt:variant>
        <vt:i4>0</vt:i4>
      </vt:variant>
      <vt:variant>
        <vt:i4>0</vt:i4>
      </vt:variant>
      <vt:variant>
        <vt:i4>5</vt:i4>
      </vt:variant>
      <vt:variant>
        <vt:lpwstr>https://www.fitzwest.org/aboutus/constitution/</vt:lpwstr>
      </vt:variant>
      <vt:variant>
        <vt:lpwstr/>
      </vt:variant>
      <vt:variant>
        <vt:i4>2687014</vt:i4>
      </vt:variant>
      <vt:variant>
        <vt:i4>3</vt:i4>
      </vt:variant>
      <vt:variant>
        <vt:i4>0</vt:i4>
      </vt:variant>
      <vt:variant>
        <vt:i4>5</vt:i4>
      </vt:variant>
      <vt:variant>
        <vt:lpwstr>https://osd.london/</vt:lpwstr>
      </vt:variant>
      <vt:variant>
        <vt:lpwstr/>
      </vt:variant>
      <vt:variant>
        <vt:i4>1114193</vt:i4>
      </vt:variant>
      <vt:variant>
        <vt:i4>0</vt:i4>
      </vt:variant>
      <vt:variant>
        <vt:i4>0</vt:i4>
      </vt:variant>
      <vt:variant>
        <vt:i4>5</vt:i4>
      </vt:variant>
      <vt:variant>
        <vt:lpwstr>https://www.london.gov.uk/sites/default/files/letter_from_sos_mhclg_london_plan_29_jan_21.pdf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Armitage</dc:creator>
  <cp:keywords/>
  <cp:lastModifiedBy>Lee Armitage</cp:lastModifiedBy>
  <cp:revision>3</cp:revision>
  <cp:lastPrinted>2021-02-15T18:02:00Z</cp:lastPrinted>
  <dcterms:created xsi:type="dcterms:W3CDTF">2021-02-15T18:06:00Z</dcterms:created>
  <dcterms:modified xsi:type="dcterms:W3CDTF">2021-02-15T18:07:00Z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0x010100D09E5979A593F44DA37581000396A3C8</vt:lpwstr>
  </property>
</Properties>
</file>